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66E55421" w14:textId="77777777" w:rsidTr="00A8112E">
        <w:sdt>
          <w:sdtPr>
            <w:alias w:val="Enhet/förvaltning/organisation"/>
            <w:tag w:val="Göteborgs Stad"/>
            <w:id w:val="-1154211905"/>
            <w:placeholder>
              <w:docPart w:val="16E1756800884FF29490E1D7CB3C5726"/>
            </w:placeholder>
            <w:text w:multiLine="1"/>
          </w:sdtPr>
          <w:sdtEndPr/>
          <w:sdtContent>
            <w:tc>
              <w:tcPr>
                <w:tcW w:w="5103" w:type="dxa"/>
                <w:tcBorders>
                  <w:bottom w:val="nil"/>
                </w:tcBorders>
                <w:vAlign w:val="center"/>
              </w:tcPr>
              <w:p w14:paraId="1D9AD9E3" w14:textId="77777777" w:rsidR="00770200" w:rsidRDefault="00CD6335" w:rsidP="00992DB6">
                <w:pPr>
                  <w:pStyle w:val="Sidhuvud"/>
                </w:pPr>
                <w:r>
                  <w:t>Kretslopp och vatten</w:t>
                </w:r>
              </w:p>
            </w:tc>
          </w:sdtContent>
        </w:sdt>
        <w:tc>
          <w:tcPr>
            <w:tcW w:w="3969" w:type="dxa"/>
            <w:tcBorders>
              <w:bottom w:val="nil"/>
            </w:tcBorders>
          </w:tcPr>
          <w:p w14:paraId="58A5ACDC" w14:textId="77777777" w:rsidR="00770200" w:rsidRDefault="00770200" w:rsidP="00992DB6">
            <w:pPr>
              <w:pStyle w:val="Sidhuvud"/>
              <w:jc w:val="right"/>
            </w:pPr>
            <w:r>
              <w:rPr>
                <w:noProof/>
                <w:lang w:eastAsia="sv-SE"/>
              </w:rPr>
              <w:drawing>
                <wp:inline distT="0" distB="0" distL="0" distR="0" wp14:anchorId="33DFE5C1" wp14:editId="2F7DFE99">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5177B9A5" w14:textId="77777777" w:rsidTr="000707CC">
        <w:tc>
          <w:tcPr>
            <w:tcW w:w="5103" w:type="dxa"/>
            <w:tcBorders>
              <w:top w:val="nil"/>
              <w:bottom w:val="single" w:sz="4" w:space="0" w:color="auto"/>
            </w:tcBorders>
            <w:shd w:val="clear" w:color="auto" w:fill="auto"/>
          </w:tcPr>
          <w:p w14:paraId="06D95886" w14:textId="77777777" w:rsidR="00770200" w:rsidRDefault="00770200" w:rsidP="00992DB6">
            <w:pPr>
              <w:pStyle w:val="Sidhuvud"/>
            </w:pPr>
          </w:p>
        </w:tc>
        <w:tc>
          <w:tcPr>
            <w:tcW w:w="3969" w:type="dxa"/>
            <w:tcBorders>
              <w:bottom w:val="single" w:sz="4" w:space="0" w:color="auto"/>
            </w:tcBorders>
            <w:shd w:val="clear" w:color="auto" w:fill="auto"/>
          </w:tcPr>
          <w:p w14:paraId="5B25BAAF" w14:textId="77777777" w:rsidR="00770200" w:rsidRDefault="00770200" w:rsidP="00992DB6">
            <w:pPr>
              <w:pStyle w:val="Sidhuvud"/>
              <w:jc w:val="right"/>
            </w:pPr>
          </w:p>
        </w:tc>
      </w:tr>
      <w:tr w:rsidR="000707CC" w14:paraId="2F98DD7E" w14:textId="77777777" w:rsidTr="000707CC">
        <w:tc>
          <w:tcPr>
            <w:tcW w:w="5103" w:type="dxa"/>
            <w:tcBorders>
              <w:top w:val="single" w:sz="4" w:space="0" w:color="auto"/>
              <w:bottom w:val="nil"/>
            </w:tcBorders>
            <w:shd w:val="clear" w:color="auto" w:fill="auto"/>
          </w:tcPr>
          <w:p w14:paraId="7919C242"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6C3E5D94" w14:textId="77777777" w:rsidR="000707CC" w:rsidRDefault="000707CC" w:rsidP="00992DB6">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0901EE" w14:paraId="299DF933" w14:textId="77777777" w:rsidTr="000707CC">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67605D0" w14:textId="77777777" w:rsidR="000707CC" w:rsidRPr="000707CC" w:rsidRDefault="000707CC" w:rsidP="000707CC">
            <w:pPr>
              <w:pStyle w:val="Dokumentinfo"/>
            </w:pPr>
            <w:bookmarkStart w:id="0" w:name="_Toc478651876"/>
            <w:r w:rsidRPr="000707CC">
              <w:t>Tjänsteutlåtande</w:t>
            </w:r>
          </w:p>
          <w:p w14:paraId="48C9CAA3" w14:textId="49E286C0" w:rsidR="000707CC" w:rsidRPr="000707CC" w:rsidRDefault="000707CC" w:rsidP="000707CC">
            <w:pPr>
              <w:pStyle w:val="Dokumentinfo"/>
              <w:rPr>
                <w:b w:val="0"/>
              </w:rPr>
            </w:pPr>
            <w:r w:rsidRPr="000707CC">
              <w:rPr>
                <w:b w:val="0"/>
              </w:rPr>
              <w:t xml:space="preserve">Utfärdat </w:t>
            </w:r>
            <w:r w:rsidR="00061D2F">
              <w:rPr>
                <w:b w:val="0"/>
              </w:rPr>
              <w:t>2023-</w:t>
            </w:r>
            <w:r w:rsidR="00AA2512">
              <w:rPr>
                <w:b w:val="0"/>
              </w:rPr>
              <w:t>08</w:t>
            </w:r>
            <w:r w:rsidR="00061D2F">
              <w:rPr>
                <w:b w:val="0"/>
              </w:rPr>
              <w:t>-</w:t>
            </w:r>
            <w:r w:rsidR="00904B76">
              <w:rPr>
                <w:b w:val="0"/>
              </w:rPr>
              <w:t>15</w:t>
            </w:r>
          </w:p>
          <w:p w14:paraId="006FB366" w14:textId="08165E15" w:rsidR="000707CC" w:rsidRPr="000707CC" w:rsidRDefault="000707CC" w:rsidP="000707CC">
            <w:pPr>
              <w:pStyle w:val="Dokumentinfo"/>
              <w:rPr>
                <w:b w:val="0"/>
              </w:rPr>
            </w:pPr>
            <w:r w:rsidRPr="000707CC">
              <w:rPr>
                <w:b w:val="0"/>
              </w:rPr>
              <w:t xml:space="preserve">Diarienummer </w:t>
            </w:r>
            <w:r w:rsidR="00C05EE6" w:rsidRPr="005969E1">
              <w:rPr>
                <w:b w:val="0"/>
              </w:rPr>
              <w:t>0009/</w:t>
            </w:r>
            <w:r w:rsidR="00CD1648">
              <w:rPr>
                <w:b w:val="0"/>
              </w:rPr>
              <w:t>2</w:t>
            </w:r>
            <w:r w:rsidR="00061D2F">
              <w:rPr>
                <w:b w:val="0"/>
              </w:rPr>
              <w:t>3</w:t>
            </w:r>
          </w:p>
          <w:p w14:paraId="5841FDE9" w14:textId="77777777" w:rsidR="000707CC" w:rsidRPr="000707CC" w:rsidRDefault="000707CC" w:rsidP="000707CC">
            <w:pPr>
              <w:pStyle w:val="Dokumentinfo"/>
              <w:rPr>
                <w:b w:val="0"/>
              </w:rPr>
            </w:pPr>
          </w:p>
        </w:tc>
        <w:tc>
          <w:tcPr>
            <w:tcW w:w="5386" w:type="dxa"/>
            <w:shd w:val="clear" w:color="auto" w:fill="auto"/>
          </w:tcPr>
          <w:p w14:paraId="76B6B3C7" w14:textId="244261FE" w:rsidR="000707CC" w:rsidRPr="00836636" w:rsidRDefault="00C05EE6" w:rsidP="00836636">
            <w:pPr>
              <w:pStyle w:val="Dokumentinfo"/>
              <w:rPr>
                <w:b w:val="0"/>
              </w:rPr>
            </w:pPr>
            <w:r>
              <w:rPr>
                <w:b w:val="0"/>
              </w:rPr>
              <w:t>Ekonomi</w:t>
            </w:r>
            <w:r w:rsidR="00BB4783">
              <w:rPr>
                <w:b w:val="0"/>
              </w:rPr>
              <w:t>s</w:t>
            </w:r>
            <w:r w:rsidR="006A4C85">
              <w:rPr>
                <w:b w:val="0"/>
              </w:rPr>
              <w:t>tab</w:t>
            </w:r>
            <w:r w:rsidR="00BB4783">
              <w:rPr>
                <w:b w:val="0"/>
              </w:rPr>
              <w:t>en</w:t>
            </w:r>
            <w:r w:rsidR="007A7A26">
              <w:rPr>
                <w:b w:val="0"/>
              </w:rPr>
              <w:t xml:space="preserve"> och </w:t>
            </w:r>
            <w:r w:rsidR="003145AB">
              <w:rPr>
                <w:b w:val="0"/>
              </w:rPr>
              <w:t>PU</w:t>
            </w:r>
            <w:r w:rsidR="00967B0A">
              <w:rPr>
                <w:b w:val="0"/>
              </w:rPr>
              <w:t xml:space="preserve"> </w:t>
            </w:r>
            <w:r w:rsidR="00836636">
              <w:rPr>
                <w:b w:val="0"/>
              </w:rPr>
              <w:br/>
            </w:r>
            <w:r w:rsidR="00983E4F">
              <w:rPr>
                <w:b w:val="0"/>
              </w:rPr>
              <w:t>Christer Bergman</w:t>
            </w:r>
            <w:r w:rsidR="007A7A26">
              <w:rPr>
                <w:b w:val="0"/>
              </w:rPr>
              <w:t>/Anna Lanne Davidsson</w:t>
            </w:r>
          </w:p>
          <w:p w14:paraId="5A1BC051" w14:textId="77777777" w:rsidR="000707CC" w:rsidRPr="00757ADB" w:rsidRDefault="000707CC" w:rsidP="000707CC">
            <w:pPr>
              <w:pStyle w:val="Dokumentinfo"/>
              <w:rPr>
                <w:b w:val="0"/>
                <w:lang w:val="de-DE"/>
              </w:rPr>
            </w:pPr>
            <w:r w:rsidRPr="00757ADB">
              <w:rPr>
                <w:b w:val="0"/>
                <w:lang w:val="de-DE"/>
              </w:rPr>
              <w:t>Telefon:</w:t>
            </w:r>
            <w:r w:rsidR="00A862DF" w:rsidRPr="00757ADB">
              <w:rPr>
                <w:b w:val="0"/>
                <w:lang w:val="de-DE"/>
              </w:rPr>
              <w:t xml:space="preserve"> 031-</w:t>
            </w:r>
            <w:r w:rsidR="007E6607" w:rsidRPr="00757ADB">
              <w:rPr>
                <w:b w:val="0"/>
                <w:lang w:val="de-DE"/>
              </w:rPr>
              <w:t xml:space="preserve">368 </w:t>
            </w:r>
            <w:r w:rsidR="00C05EE6" w:rsidRPr="00757ADB">
              <w:rPr>
                <w:b w:val="0"/>
                <w:lang w:val="de-DE"/>
              </w:rPr>
              <w:t>74 01</w:t>
            </w:r>
          </w:p>
          <w:p w14:paraId="75ADDA56" w14:textId="618F7922" w:rsidR="000707CC" w:rsidRPr="00757ADB" w:rsidRDefault="000707CC" w:rsidP="000707CC">
            <w:pPr>
              <w:pStyle w:val="Dokumentinfo"/>
              <w:rPr>
                <w:b w:val="0"/>
                <w:lang w:val="de-DE"/>
              </w:rPr>
            </w:pPr>
            <w:r w:rsidRPr="00757ADB">
              <w:rPr>
                <w:b w:val="0"/>
                <w:lang w:val="de-DE"/>
              </w:rPr>
              <w:t>E-pos</w:t>
            </w:r>
            <w:r w:rsidR="00A40BFD" w:rsidRPr="00757ADB">
              <w:rPr>
                <w:b w:val="0"/>
                <w:lang w:val="de-DE"/>
              </w:rPr>
              <w:t xml:space="preserve">t: </w:t>
            </w:r>
            <w:r w:rsidR="00983E4F">
              <w:rPr>
                <w:b w:val="0"/>
                <w:lang w:val="de-DE"/>
              </w:rPr>
              <w:t>christer.bergman</w:t>
            </w:r>
            <w:r w:rsidR="00A40BFD" w:rsidRPr="00757ADB">
              <w:rPr>
                <w:b w:val="0"/>
                <w:lang w:val="de-DE"/>
              </w:rPr>
              <w:t>@kretsloppochvatten</w:t>
            </w:r>
            <w:r w:rsidRPr="00757ADB">
              <w:rPr>
                <w:b w:val="0"/>
                <w:lang w:val="de-DE"/>
              </w:rPr>
              <w:t xml:space="preserve">.goteborg.se </w:t>
            </w:r>
          </w:p>
        </w:tc>
      </w:tr>
    </w:tbl>
    <w:bookmarkEnd w:id="0"/>
    <w:p w14:paraId="73B5387D" w14:textId="6BE3A1D8" w:rsidR="00E753A3" w:rsidRPr="00B039F3" w:rsidRDefault="00C05EE6" w:rsidP="00B039F3">
      <w:pPr>
        <w:pStyle w:val="Rubrik1"/>
        <w:rPr>
          <w:sz w:val="32"/>
        </w:rPr>
      </w:pPr>
      <w:r>
        <w:rPr>
          <w:sz w:val="32"/>
        </w:rPr>
        <w:t xml:space="preserve">Ekonomisk redovisning per </w:t>
      </w:r>
      <w:r w:rsidR="00AA2512">
        <w:rPr>
          <w:sz w:val="32"/>
        </w:rPr>
        <w:t>juli</w:t>
      </w:r>
      <w:r>
        <w:rPr>
          <w:sz w:val="32"/>
        </w:rPr>
        <w:t xml:space="preserve"> </w:t>
      </w:r>
      <w:r w:rsidR="006F0C83">
        <w:rPr>
          <w:sz w:val="32"/>
        </w:rPr>
        <w:t>202</w:t>
      </w:r>
      <w:r w:rsidR="00061D2F">
        <w:rPr>
          <w:sz w:val="32"/>
        </w:rPr>
        <w:t>3</w:t>
      </w:r>
    </w:p>
    <w:p w14:paraId="0D2A5C59" w14:textId="77777777" w:rsidR="00A40BFD" w:rsidRPr="00A40BFD" w:rsidRDefault="000046E1" w:rsidP="00D70308">
      <w:pPr>
        <w:pStyle w:val="Rubrik2"/>
      </w:pPr>
      <w:r w:rsidRPr="00FC0448">
        <w:t>Förslag till beslut</w:t>
      </w:r>
    </w:p>
    <w:p w14:paraId="2D256E2B" w14:textId="40D6526D" w:rsidR="00BD2898" w:rsidRPr="00BD2898" w:rsidRDefault="00BD2898" w:rsidP="00BD2898">
      <w:pPr>
        <w:pStyle w:val="Default"/>
      </w:pPr>
    </w:p>
    <w:p w14:paraId="4DA8D397" w14:textId="0C3406AB" w:rsidR="00E753A3" w:rsidRPr="00BD2898" w:rsidRDefault="00BD2898" w:rsidP="00BD2898">
      <w:pPr>
        <w:pStyle w:val="Default"/>
        <w:spacing w:after="148"/>
      </w:pPr>
      <w:r w:rsidRPr="00BD2898">
        <w:t xml:space="preserve">1. Kretslopp och vattennämnden har tagit del av förvaltningens </w:t>
      </w:r>
      <w:r w:rsidR="00D90ACD">
        <w:t>e</w:t>
      </w:r>
      <w:r w:rsidRPr="00BD2898">
        <w:t xml:space="preserve">konomiska redovisning per </w:t>
      </w:r>
      <w:r w:rsidR="00AA2512">
        <w:rPr>
          <w:color w:val="auto"/>
        </w:rPr>
        <w:t>juli</w:t>
      </w:r>
      <w:r w:rsidRPr="00B039F3">
        <w:rPr>
          <w:color w:val="auto"/>
        </w:rPr>
        <w:t xml:space="preserve"> </w:t>
      </w:r>
      <w:r w:rsidR="006F0C83">
        <w:rPr>
          <w:color w:val="auto"/>
        </w:rPr>
        <w:t>202</w:t>
      </w:r>
      <w:r w:rsidR="00061D2F">
        <w:rPr>
          <w:color w:val="auto"/>
        </w:rPr>
        <w:t>3</w:t>
      </w:r>
      <w:r w:rsidR="00B039F3" w:rsidRPr="00B039F3">
        <w:rPr>
          <w:color w:val="auto"/>
        </w:rPr>
        <w:t xml:space="preserve"> och antecknar informationen till protokollet.</w:t>
      </w:r>
    </w:p>
    <w:p w14:paraId="2581196E" w14:textId="42F796BB" w:rsidR="00461B68" w:rsidRDefault="000046E1" w:rsidP="002863DD">
      <w:pPr>
        <w:pStyle w:val="Rubrik2"/>
      </w:pPr>
      <w:r w:rsidRPr="00FC0448">
        <w:t>Sammanfattning</w:t>
      </w:r>
    </w:p>
    <w:p w14:paraId="3556A884" w14:textId="20B4EBE5" w:rsidR="00BE710A" w:rsidRDefault="00BE710A" w:rsidP="0065287C">
      <w:pPr>
        <w:rPr>
          <w:rFonts w:eastAsiaTheme="majorEastAsia" w:cstheme="minorHAnsi"/>
          <w:sz w:val="24"/>
        </w:rPr>
      </w:pPr>
    </w:p>
    <w:tbl>
      <w:tblPr>
        <w:tblW w:w="7645" w:type="dxa"/>
        <w:tblCellMar>
          <w:left w:w="70" w:type="dxa"/>
          <w:right w:w="70" w:type="dxa"/>
        </w:tblCellMar>
        <w:tblLook w:val="04A0" w:firstRow="1" w:lastRow="0" w:firstColumn="1" w:lastColumn="0" w:noHBand="0" w:noVBand="1"/>
      </w:tblPr>
      <w:tblGrid>
        <w:gridCol w:w="1122"/>
        <w:gridCol w:w="989"/>
        <w:gridCol w:w="849"/>
        <w:gridCol w:w="901"/>
        <w:gridCol w:w="949"/>
        <w:gridCol w:w="1134"/>
        <w:gridCol w:w="850"/>
        <w:gridCol w:w="851"/>
      </w:tblGrid>
      <w:tr w:rsidR="00E06BD3" w:rsidRPr="00E06BD3" w14:paraId="18B2B8FA" w14:textId="77777777" w:rsidTr="00E06BD3">
        <w:trPr>
          <w:trHeight w:val="300"/>
        </w:trPr>
        <w:tc>
          <w:tcPr>
            <w:tcW w:w="1122" w:type="dxa"/>
            <w:tcBorders>
              <w:top w:val="single" w:sz="8" w:space="0" w:color="auto"/>
              <w:left w:val="single" w:sz="8" w:space="0" w:color="auto"/>
              <w:bottom w:val="nil"/>
              <w:right w:val="nil"/>
            </w:tcBorders>
            <w:shd w:val="clear" w:color="000000" w:fill="E5E5E5"/>
            <w:vAlign w:val="center"/>
            <w:hideMark/>
          </w:tcPr>
          <w:p w14:paraId="611D5767" w14:textId="77777777" w:rsidR="00E06BD3" w:rsidRPr="00E06BD3" w:rsidRDefault="00E06BD3" w:rsidP="00E06BD3">
            <w:pPr>
              <w:spacing w:after="0" w:line="240" w:lineRule="auto"/>
              <w:rPr>
                <w:rFonts w:ascii="Arial" w:eastAsia="Times New Roman" w:hAnsi="Arial" w:cs="Arial"/>
                <w:b/>
                <w:bCs/>
                <w:color w:val="000000"/>
                <w:sz w:val="18"/>
                <w:szCs w:val="18"/>
                <w:lang w:eastAsia="sv-SE"/>
              </w:rPr>
            </w:pPr>
            <w:r w:rsidRPr="00E06BD3">
              <w:rPr>
                <w:rFonts w:ascii="Arial" w:eastAsia="Times New Roman" w:hAnsi="Arial" w:cs="Arial"/>
                <w:b/>
                <w:bCs/>
                <w:color w:val="000000"/>
                <w:sz w:val="18"/>
                <w:szCs w:val="18"/>
                <w:lang w:eastAsia="sv-SE"/>
              </w:rPr>
              <w:t>mnkr</w:t>
            </w:r>
          </w:p>
        </w:tc>
        <w:tc>
          <w:tcPr>
            <w:tcW w:w="3688" w:type="dxa"/>
            <w:gridSpan w:val="4"/>
            <w:tcBorders>
              <w:top w:val="single" w:sz="8" w:space="0" w:color="auto"/>
              <w:left w:val="nil"/>
              <w:bottom w:val="single" w:sz="8" w:space="0" w:color="auto"/>
              <w:right w:val="nil"/>
            </w:tcBorders>
            <w:shd w:val="clear" w:color="000000" w:fill="E5E5E5"/>
            <w:vAlign w:val="center"/>
            <w:hideMark/>
          </w:tcPr>
          <w:p w14:paraId="3DAEE3F5" w14:textId="77777777" w:rsidR="00E06BD3" w:rsidRPr="00E06BD3" w:rsidRDefault="00E06BD3" w:rsidP="00E06BD3">
            <w:pPr>
              <w:spacing w:after="0" w:line="240" w:lineRule="auto"/>
              <w:rPr>
                <w:rFonts w:ascii="Arial" w:eastAsia="Times New Roman" w:hAnsi="Arial" w:cs="Arial"/>
                <w:b/>
                <w:bCs/>
                <w:color w:val="000000"/>
                <w:sz w:val="18"/>
                <w:szCs w:val="18"/>
                <w:lang w:eastAsia="sv-SE"/>
              </w:rPr>
            </w:pPr>
            <w:r w:rsidRPr="00E06BD3">
              <w:rPr>
                <w:rFonts w:ascii="Arial" w:eastAsia="Times New Roman" w:hAnsi="Arial" w:cs="Arial"/>
                <w:b/>
                <w:bCs/>
                <w:color w:val="000000"/>
                <w:sz w:val="18"/>
                <w:szCs w:val="18"/>
                <w:lang w:eastAsia="sv-SE"/>
              </w:rPr>
              <w:t>Period jan-juli 2023</w:t>
            </w:r>
          </w:p>
        </w:tc>
        <w:tc>
          <w:tcPr>
            <w:tcW w:w="1134" w:type="dxa"/>
            <w:tcBorders>
              <w:top w:val="single" w:sz="8" w:space="0" w:color="auto"/>
              <w:left w:val="nil"/>
              <w:bottom w:val="single" w:sz="8" w:space="0" w:color="auto"/>
              <w:right w:val="nil"/>
            </w:tcBorders>
            <w:shd w:val="clear" w:color="000000" w:fill="B4B4B4"/>
            <w:vAlign w:val="center"/>
            <w:hideMark/>
          </w:tcPr>
          <w:p w14:paraId="796C0A2A" w14:textId="77777777" w:rsidR="00E06BD3" w:rsidRPr="00E06BD3" w:rsidRDefault="00E06BD3" w:rsidP="00E06BD3">
            <w:pPr>
              <w:spacing w:after="0" w:line="240" w:lineRule="auto"/>
              <w:rPr>
                <w:rFonts w:ascii="Arial" w:eastAsia="Times New Roman" w:hAnsi="Arial" w:cs="Arial"/>
                <w:b/>
                <w:bCs/>
                <w:color w:val="000000"/>
                <w:sz w:val="18"/>
                <w:szCs w:val="18"/>
                <w:lang w:eastAsia="sv-SE"/>
              </w:rPr>
            </w:pPr>
            <w:r w:rsidRPr="00E06BD3">
              <w:rPr>
                <w:rFonts w:ascii="Arial" w:eastAsia="Times New Roman" w:hAnsi="Arial" w:cs="Arial"/>
                <w:b/>
                <w:bCs/>
                <w:color w:val="000000"/>
                <w:sz w:val="18"/>
                <w:szCs w:val="18"/>
                <w:lang w:eastAsia="sv-SE"/>
              </w:rPr>
              <w:t>Helår 2023</w:t>
            </w:r>
          </w:p>
        </w:tc>
        <w:tc>
          <w:tcPr>
            <w:tcW w:w="850" w:type="dxa"/>
            <w:tcBorders>
              <w:top w:val="single" w:sz="8" w:space="0" w:color="auto"/>
              <w:left w:val="nil"/>
              <w:bottom w:val="single" w:sz="8" w:space="0" w:color="auto"/>
              <w:right w:val="nil"/>
            </w:tcBorders>
            <w:shd w:val="clear" w:color="000000" w:fill="B4B4B4"/>
            <w:vAlign w:val="center"/>
            <w:hideMark/>
          </w:tcPr>
          <w:p w14:paraId="40CED722" w14:textId="77777777" w:rsidR="00E06BD3" w:rsidRPr="00E06BD3" w:rsidRDefault="00E06BD3" w:rsidP="00E06BD3">
            <w:pPr>
              <w:spacing w:after="0" w:line="240" w:lineRule="auto"/>
              <w:rPr>
                <w:rFonts w:ascii="Arial" w:eastAsia="Times New Roman" w:hAnsi="Arial" w:cs="Arial"/>
                <w:b/>
                <w:bCs/>
                <w:color w:val="000000"/>
                <w:sz w:val="18"/>
                <w:szCs w:val="18"/>
                <w:lang w:eastAsia="sv-SE"/>
              </w:rPr>
            </w:pPr>
            <w:r w:rsidRPr="00E06BD3">
              <w:rPr>
                <w:rFonts w:ascii="Arial" w:eastAsia="Times New Roman" w:hAnsi="Arial" w:cs="Arial"/>
                <w:b/>
                <w:bCs/>
                <w:color w:val="000000"/>
                <w:sz w:val="18"/>
                <w:szCs w:val="18"/>
                <w:lang w:eastAsia="sv-SE"/>
              </w:rPr>
              <w:t> </w:t>
            </w:r>
          </w:p>
        </w:tc>
        <w:tc>
          <w:tcPr>
            <w:tcW w:w="851" w:type="dxa"/>
            <w:tcBorders>
              <w:top w:val="single" w:sz="8" w:space="0" w:color="auto"/>
              <w:left w:val="nil"/>
              <w:bottom w:val="single" w:sz="8" w:space="0" w:color="auto"/>
              <w:right w:val="single" w:sz="8" w:space="0" w:color="auto"/>
            </w:tcBorders>
            <w:shd w:val="clear" w:color="000000" w:fill="B4B4B4"/>
            <w:vAlign w:val="center"/>
            <w:hideMark/>
          </w:tcPr>
          <w:p w14:paraId="5A200027" w14:textId="77777777" w:rsidR="00E06BD3" w:rsidRPr="00E06BD3" w:rsidRDefault="00E06BD3" w:rsidP="00E06BD3">
            <w:pPr>
              <w:spacing w:after="0" w:line="240" w:lineRule="auto"/>
              <w:rPr>
                <w:rFonts w:ascii="Arial" w:eastAsia="Times New Roman" w:hAnsi="Arial" w:cs="Arial"/>
                <w:b/>
                <w:bCs/>
                <w:color w:val="000000"/>
                <w:sz w:val="18"/>
                <w:szCs w:val="18"/>
                <w:lang w:eastAsia="sv-SE"/>
              </w:rPr>
            </w:pPr>
            <w:r w:rsidRPr="00E06BD3">
              <w:rPr>
                <w:rFonts w:ascii="Arial" w:eastAsia="Times New Roman" w:hAnsi="Arial" w:cs="Arial"/>
                <w:b/>
                <w:bCs/>
                <w:color w:val="000000"/>
                <w:sz w:val="18"/>
                <w:szCs w:val="18"/>
                <w:lang w:eastAsia="sv-SE"/>
              </w:rPr>
              <w:t> </w:t>
            </w:r>
          </w:p>
        </w:tc>
      </w:tr>
      <w:tr w:rsidR="00E06BD3" w:rsidRPr="00E06BD3" w14:paraId="777FB7DD" w14:textId="77777777" w:rsidTr="00E06BD3">
        <w:trPr>
          <w:trHeight w:val="300"/>
        </w:trPr>
        <w:tc>
          <w:tcPr>
            <w:tcW w:w="1122" w:type="dxa"/>
            <w:tcBorders>
              <w:top w:val="nil"/>
              <w:left w:val="single" w:sz="8" w:space="0" w:color="auto"/>
              <w:bottom w:val="single" w:sz="12" w:space="0" w:color="auto"/>
              <w:right w:val="nil"/>
            </w:tcBorders>
            <w:shd w:val="clear" w:color="000000" w:fill="E5E5E5"/>
            <w:vAlign w:val="center"/>
            <w:hideMark/>
          </w:tcPr>
          <w:p w14:paraId="1B6F1C60" w14:textId="77777777" w:rsidR="00E06BD3" w:rsidRPr="00E06BD3" w:rsidRDefault="00E06BD3" w:rsidP="00E06BD3">
            <w:pPr>
              <w:spacing w:after="0" w:line="240" w:lineRule="auto"/>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 </w:t>
            </w:r>
          </w:p>
        </w:tc>
        <w:tc>
          <w:tcPr>
            <w:tcW w:w="989" w:type="dxa"/>
            <w:tcBorders>
              <w:top w:val="nil"/>
              <w:left w:val="nil"/>
              <w:bottom w:val="single" w:sz="12" w:space="0" w:color="auto"/>
              <w:right w:val="nil"/>
            </w:tcBorders>
            <w:shd w:val="clear" w:color="000000" w:fill="E5E5E5"/>
            <w:vAlign w:val="center"/>
            <w:hideMark/>
          </w:tcPr>
          <w:p w14:paraId="10A04247"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Utfall</w:t>
            </w:r>
          </w:p>
        </w:tc>
        <w:tc>
          <w:tcPr>
            <w:tcW w:w="849" w:type="dxa"/>
            <w:tcBorders>
              <w:top w:val="nil"/>
              <w:left w:val="nil"/>
              <w:bottom w:val="single" w:sz="12" w:space="0" w:color="auto"/>
              <w:right w:val="nil"/>
            </w:tcBorders>
            <w:shd w:val="clear" w:color="000000" w:fill="E5E5E5"/>
            <w:vAlign w:val="center"/>
            <w:hideMark/>
          </w:tcPr>
          <w:p w14:paraId="6F1B687E"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Budget</w:t>
            </w:r>
          </w:p>
        </w:tc>
        <w:tc>
          <w:tcPr>
            <w:tcW w:w="901" w:type="dxa"/>
            <w:tcBorders>
              <w:top w:val="nil"/>
              <w:left w:val="nil"/>
              <w:bottom w:val="single" w:sz="12" w:space="0" w:color="auto"/>
              <w:right w:val="nil"/>
            </w:tcBorders>
            <w:shd w:val="clear" w:color="000000" w:fill="E5E5E5"/>
            <w:vAlign w:val="center"/>
            <w:hideMark/>
          </w:tcPr>
          <w:p w14:paraId="0984ADA7"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Avvikelse</w:t>
            </w:r>
          </w:p>
        </w:tc>
        <w:tc>
          <w:tcPr>
            <w:tcW w:w="949" w:type="dxa"/>
            <w:tcBorders>
              <w:top w:val="nil"/>
              <w:left w:val="nil"/>
              <w:bottom w:val="single" w:sz="12" w:space="0" w:color="auto"/>
              <w:right w:val="nil"/>
            </w:tcBorders>
            <w:shd w:val="clear" w:color="000000" w:fill="E5E5E5"/>
            <w:vAlign w:val="center"/>
            <w:hideMark/>
          </w:tcPr>
          <w:p w14:paraId="42068728"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 xml:space="preserve">Utfall </w:t>
            </w:r>
            <w:proofErr w:type="spellStart"/>
            <w:r w:rsidRPr="00E06BD3">
              <w:rPr>
                <w:rFonts w:ascii="Arial" w:eastAsia="Times New Roman" w:hAnsi="Arial" w:cs="Arial"/>
                <w:color w:val="000000"/>
                <w:sz w:val="18"/>
                <w:szCs w:val="18"/>
                <w:lang w:eastAsia="sv-SE"/>
              </w:rPr>
              <w:t>fg</w:t>
            </w:r>
            <w:proofErr w:type="spellEnd"/>
            <w:r w:rsidRPr="00E06BD3">
              <w:rPr>
                <w:rFonts w:ascii="Arial" w:eastAsia="Times New Roman" w:hAnsi="Arial" w:cs="Arial"/>
                <w:color w:val="000000"/>
                <w:sz w:val="18"/>
                <w:szCs w:val="18"/>
                <w:lang w:eastAsia="sv-SE"/>
              </w:rPr>
              <w:t xml:space="preserve"> år</w:t>
            </w:r>
          </w:p>
        </w:tc>
        <w:tc>
          <w:tcPr>
            <w:tcW w:w="1134" w:type="dxa"/>
            <w:tcBorders>
              <w:top w:val="nil"/>
              <w:left w:val="nil"/>
              <w:bottom w:val="single" w:sz="12" w:space="0" w:color="auto"/>
              <w:right w:val="nil"/>
            </w:tcBorders>
            <w:shd w:val="clear" w:color="000000" w:fill="B4B4B4"/>
            <w:vAlign w:val="center"/>
            <w:hideMark/>
          </w:tcPr>
          <w:p w14:paraId="0F7BD8CF"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Prognos</w:t>
            </w:r>
          </w:p>
        </w:tc>
        <w:tc>
          <w:tcPr>
            <w:tcW w:w="850" w:type="dxa"/>
            <w:tcBorders>
              <w:top w:val="nil"/>
              <w:left w:val="nil"/>
              <w:bottom w:val="single" w:sz="12" w:space="0" w:color="auto"/>
              <w:right w:val="nil"/>
            </w:tcBorders>
            <w:shd w:val="clear" w:color="000000" w:fill="B4B4B4"/>
            <w:vAlign w:val="center"/>
            <w:hideMark/>
          </w:tcPr>
          <w:p w14:paraId="1D39376C"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Budget</w:t>
            </w:r>
          </w:p>
        </w:tc>
        <w:tc>
          <w:tcPr>
            <w:tcW w:w="851" w:type="dxa"/>
            <w:tcBorders>
              <w:top w:val="nil"/>
              <w:left w:val="nil"/>
              <w:bottom w:val="single" w:sz="12" w:space="0" w:color="auto"/>
              <w:right w:val="single" w:sz="8" w:space="0" w:color="auto"/>
            </w:tcBorders>
            <w:shd w:val="clear" w:color="000000" w:fill="B4B4B4"/>
            <w:vAlign w:val="center"/>
            <w:hideMark/>
          </w:tcPr>
          <w:p w14:paraId="370FE2E2" w14:textId="77777777" w:rsidR="00E06BD3" w:rsidRPr="00E06BD3" w:rsidRDefault="00E06BD3" w:rsidP="00E06BD3">
            <w:pPr>
              <w:spacing w:after="0" w:line="240" w:lineRule="auto"/>
              <w:jc w:val="center"/>
              <w:rPr>
                <w:rFonts w:ascii="Arial" w:eastAsia="Times New Roman" w:hAnsi="Arial" w:cs="Arial"/>
                <w:color w:val="000000"/>
                <w:sz w:val="18"/>
                <w:szCs w:val="18"/>
                <w:lang w:eastAsia="sv-SE"/>
              </w:rPr>
            </w:pPr>
            <w:r w:rsidRPr="00E06BD3">
              <w:rPr>
                <w:rFonts w:ascii="Arial" w:eastAsia="Times New Roman" w:hAnsi="Arial" w:cs="Arial"/>
                <w:color w:val="000000"/>
                <w:sz w:val="18"/>
                <w:szCs w:val="18"/>
                <w:lang w:eastAsia="sv-SE"/>
              </w:rPr>
              <w:t xml:space="preserve">Bokslut </w:t>
            </w:r>
            <w:proofErr w:type="spellStart"/>
            <w:r w:rsidRPr="00E06BD3">
              <w:rPr>
                <w:rFonts w:ascii="Arial" w:eastAsia="Times New Roman" w:hAnsi="Arial" w:cs="Arial"/>
                <w:color w:val="000000"/>
                <w:sz w:val="18"/>
                <w:szCs w:val="18"/>
                <w:lang w:eastAsia="sv-SE"/>
              </w:rPr>
              <w:t>fg</w:t>
            </w:r>
            <w:proofErr w:type="spellEnd"/>
            <w:r w:rsidRPr="00E06BD3">
              <w:rPr>
                <w:rFonts w:ascii="Arial" w:eastAsia="Times New Roman" w:hAnsi="Arial" w:cs="Arial"/>
                <w:color w:val="000000"/>
                <w:sz w:val="18"/>
                <w:szCs w:val="18"/>
                <w:lang w:eastAsia="sv-SE"/>
              </w:rPr>
              <w:t xml:space="preserve"> år</w:t>
            </w:r>
          </w:p>
        </w:tc>
      </w:tr>
      <w:tr w:rsidR="00E06BD3" w:rsidRPr="00E06BD3" w14:paraId="2A1A56D1" w14:textId="77777777" w:rsidTr="00E06BD3">
        <w:trPr>
          <w:trHeight w:val="312"/>
        </w:trPr>
        <w:tc>
          <w:tcPr>
            <w:tcW w:w="1122" w:type="dxa"/>
            <w:tcBorders>
              <w:top w:val="nil"/>
              <w:left w:val="single" w:sz="8" w:space="0" w:color="auto"/>
              <w:bottom w:val="single" w:sz="8" w:space="0" w:color="auto"/>
              <w:right w:val="single" w:sz="8" w:space="0" w:color="auto"/>
            </w:tcBorders>
            <w:shd w:val="clear" w:color="000000" w:fill="FFFFFF"/>
            <w:vAlign w:val="center"/>
            <w:hideMark/>
          </w:tcPr>
          <w:p w14:paraId="79BD893A"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Intäkter</w:t>
            </w:r>
          </w:p>
        </w:tc>
        <w:tc>
          <w:tcPr>
            <w:tcW w:w="989" w:type="dxa"/>
            <w:tcBorders>
              <w:top w:val="nil"/>
              <w:left w:val="nil"/>
              <w:bottom w:val="single" w:sz="8" w:space="0" w:color="auto"/>
              <w:right w:val="single" w:sz="8" w:space="0" w:color="auto"/>
            </w:tcBorders>
            <w:shd w:val="clear" w:color="000000" w:fill="FFFFFF"/>
            <w:vAlign w:val="center"/>
            <w:hideMark/>
          </w:tcPr>
          <w:p w14:paraId="77465E4B"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1 100,5</w:t>
            </w:r>
          </w:p>
        </w:tc>
        <w:tc>
          <w:tcPr>
            <w:tcW w:w="849" w:type="dxa"/>
            <w:tcBorders>
              <w:top w:val="nil"/>
              <w:left w:val="nil"/>
              <w:bottom w:val="single" w:sz="8" w:space="0" w:color="auto"/>
              <w:right w:val="single" w:sz="8" w:space="0" w:color="auto"/>
            </w:tcBorders>
            <w:shd w:val="clear" w:color="000000" w:fill="FFFFFF"/>
            <w:vAlign w:val="center"/>
            <w:hideMark/>
          </w:tcPr>
          <w:p w14:paraId="619C568F"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1 093,0</w:t>
            </w:r>
          </w:p>
        </w:tc>
        <w:tc>
          <w:tcPr>
            <w:tcW w:w="901" w:type="dxa"/>
            <w:tcBorders>
              <w:top w:val="nil"/>
              <w:left w:val="nil"/>
              <w:bottom w:val="single" w:sz="8" w:space="0" w:color="auto"/>
              <w:right w:val="single" w:sz="8" w:space="0" w:color="auto"/>
            </w:tcBorders>
            <w:shd w:val="clear" w:color="000000" w:fill="FFFFFF"/>
            <w:vAlign w:val="center"/>
            <w:hideMark/>
          </w:tcPr>
          <w:p w14:paraId="45B19AC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7,4</w:t>
            </w:r>
          </w:p>
        </w:tc>
        <w:tc>
          <w:tcPr>
            <w:tcW w:w="949" w:type="dxa"/>
            <w:tcBorders>
              <w:top w:val="nil"/>
              <w:left w:val="nil"/>
              <w:bottom w:val="single" w:sz="8" w:space="0" w:color="auto"/>
              <w:right w:val="single" w:sz="8" w:space="0" w:color="auto"/>
            </w:tcBorders>
            <w:shd w:val="clear" w:color="auto" w:fill="auto"/>
            <w:vAlign w:val="center"/>
            <w:hideMark/>
          </w:tcPr>
          <w:p w14:paraId="498B43D8"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1 040,6</w:t>
            </w:r>
          </w:p>
        </w:tc>
        <w:tc>
          <w:tcPr>
            <w:tcW w:w="1134" w:type="dxa"/>
            <w:tcBorders>
              <w:top w:val="nil"/>
              <w:left w:val="nil"/>
              <w:bottom w:val="single" w:sz="8" w:space="0" w:color="auto"/>
              <w:right w:val="single" w:sz="8" w:space="0" w:color="auto"/>
            </w:tcBorders>
            <w:shd w:val="clear" w:color="000000" w:fill="FFFFFF"/>
            <w:vAlign w:val="center"/>
            <w:hideMark/>
          </w:tcPr>
          <w:p w14:paraId="7EB68BDC"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1 888,3</w:t>
            </w:r>
          </w:p>
        </w:tc>
        <w:tc>
          <w:tcPr>
            <w:tcW w:w="850" w:type="dxa"/>
            <w:tcBorders>
              <w:top w:val="nil"/>
              <w:left w:val="nil"/>
              <w:bottom w:val="single" w:sz="8" w:space="0" w:color="auto"/>
              <w:right w:val="single" w:sz="8" w:space="0" w:color="auto"/>
            </w:tcBorders>
            <w:shd w:val="clear" w:color="000000" w:fill="FFFFFF"/>
            <w:vAlign w:val="center"/>
            <w:hideMark/>
          </w:tcPr>
          <w:p w14:paraId="3C206152"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1 881,0</w:t>
            </w:r>
          </w:p>
        </w:tc>
        <w:tc>
          <w:tcPr>
            <w:tcW w:w="851" w:type="dxa"/>
            <w:tcBorders>
              <w:top w:val="nil"/>
              <w:left w:val="nil"/>
              <w:bottom w:val="single" w:sz="8" w:space="0" w:color="auto"/>
              <w:right w:val="single" w:sz="8" w:space="0" w:color="auto"/>
            </w:tcBorders>
            <w:shd w:val="clear" w:color="000000" w:fill="FFFFFF"/>
            <w:vAlign w:val="center"/>
            <w:hideMark/>
          </w:tcPr>
          <w:p w14:paraId="41425DEE"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1 590,0</w:t>
            </w:r>
          </w:p>
        </w:tc>
      </w:tr>
      <w:tr w:rsidR="00E06BD3" w:rsidRPr="00E06BD3" w14:paraId="15F53BA7" w14:textId="77777777" w:rsidTr="00E06BD3">
        <w:trPr>
          <w:trHeight w:val="300"/>
        </w:trPr>
        <w:tc>
          <w:tcPr>
            <w:tcW w:w="1122" w:type="dxa"/>
            <w:tcBorders>
              <w:top w:val="nil"/>
              <w:left w:val="single" w:sz="8" w:space="0" w:color="auto"/>
              <w:bottom w:val="single" w:sz="8" w:space="0" w:color="auto"/>
              <w:right w:val="single" w:sz="8" w:space="0" w:color="auto"/>
            </w:tcBorders>
            <w:shd w:val="clear" w:color="000000" w:fill="FFFFFF"/>
            <w:vAlign w:val="center"/>
            <w:hideMark/>
          </w:tcPr>
          <w:p w14:paraId="4F816438"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Kostnader</w:t>
            </w:r>
          </w:p>
        </w:tc>
        <w:tc>
          <w:tcPr>
            <w:tcW w:w="989" w:type="dxa"/>
            <w:tcBorders>
              <w:top w:val="nil"/>
              <w:left w:val="nil"/>
              <w:bottom w:val="single" w:sz="8" w:space="0" w:color="auto"/>
              <w:right w:val="single" w:sz="8" w:space="0" w:color="auto"/>
            </w:tcBorders>
            <w:shd w:val="clear" w:color="000000" w:fill="FFFFFF"/>
            <w:vAlign w:val="center"/>
            <w:hideMark/>
          </w:tcPr>
          <w:p w14:paraId="31EE9F72"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-1 153,2</w:t>
            </w:r>
          </w:p>
        </w:tc>
        <w:tc>
          <w:tcPr>
            <w:tcW w:w="849" w:type="dxa"/>
            <w:tcBorders>
              <w:top w:val="nil"/>
              <w:left w:val="nil"/>
              <w:bottom w:val="single" w:sz="8" w:space="0" w:color="auto"/>
              <w:right w:val="single" w:sz="8" w:space="0" w:color="auto"/>
            </w:tcBorders>
            <w:shd w:val="clear" w:color="000000" w:fill="FFFFFF"/>
            <w:vAlign w:val="center"/>
            <w:hideMark/>
          </w:tcPr>
          <w:p w14:paraId="2A67AFDB"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-1 126,3</w:t>
            </w:r>
          </w:p>
        </w:tc>
        <w:tc>
          <w:tcPr>
            <w:tcW w:w="901" w:type="dxa"/>
            <w:tcBorders>
              <w:top w:val="nil"/>
              <w:left w:val="nil"/>
              <w:bottom w:val="single" w:sz="8" w:space="0" w:color="auto"/>
              <w:right w:val="single" w:sz="8" w:space="0" w:color="auto"/>
            </w:tcBorders>
            <w:shd w:val="clear" w:color="000000" w:fill="FFFFFF"/>
            <w:vAlign w:val="center"/>
            <w:hideMark/>
          </w:tcPr>
          <w:p w14:paraId="66D23D6C"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-26,9</w:t>
            </w:r>
          </w:p>
        </w:tc>
        <w:tc>
          <w:tcPr>
            <w:tcW w:w="949" w:type="dxa"/>
            <w:tcBorders>
              <w:top w:val="nil"/>
              <w:left w:val="nil"/>
              <w:bottom w:val="single" w:sz="8" w:space="0" w:color="auto"/>
              <w:right w:val="single" w:sz="8" w:space="0" w:color="auto"/>
            </w:tcBorders>
            <w:shd w:val="clear" w:color="auto" w:fill="auto"/>
            <w:vAlign w:val="center"/>
            <w:hideMark/>
          </w:tcPr>
          <w:p w14:paraId="2A8B4269"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-991,0</w:t>
            </w:r>
          </w:p>
        </w:tc>
        <w:tc>
          <w:tcPr>
            <w:tcW w:w="1134" w:type="dxa"/>
            <w:tcBorders>
              <w:top w:val="nil"/>
              <w:left w:val="nil"/>
              <w:bottom w:val="single" w:sz="8" w:space="0" w:color="auto"/>
              <w:right w:val="single" w:sz="8" w:space="0" w:color="auto"/>
            </w:tcBorders>
            <w:shd w:val="clear" w:color="000000" w:fill="FFFFFF"/>
            <w:vAlign w:val="center"/>
            <w:hideMark/>
          </w:tcPr>
          <w:p w14:paraId="3B7F7862"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-1 958,7</w:t>
            </w:r>
          </w:p>
        </w:tc>
        <w:tc>
          <w:tcPr>
            <w:tcW w:w="850" w:type="dxa"/>
            <w:tcBorders>
              <w:top w:val="nil"/>
              <w:left w:val="nil"/>
              <w:bottom w:val="single" w:sz="8" w:space="0" w:color="auto"/>
              <w:right w:val="single" w:sz="8" w:space="0" w:color="auto"/>
            </w:tcBorders>
            <w:shd w:val="clear" w:color="000000" w:fill="FFFFFF"/>
            <w:vAlign w:val="center"/>
            <w:hideMark/>
          </w:tcPr>
          <w:p w14:paraId="243A10F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-1 927,8</w:t>
            </w:r>
          </w:p>
        </w:tc>
        <w:tc>
          <w:tcPr>
            <w:tcW w:w="851" w:type="dxa"/>
            <w:tcBorders>
              <w:top w:val="nil"/>
              <w:left w:val="nil"/>
              <w:bottom w:val="single" w:sz="8" w:space="0" w:color="auto"/>
              <w:right w:val="single" w:sz="8" w:space="0" w:color="auto"/>
            </w:tcBorders>
            <w:shd w:val="clear" w:color="000000" w:fill="FFFFFF"/>
            <w:vAlign w:val="center"/>
            <w:hideMark/>
          </w:tcPr>
          <w:p w14:paraId="62A95A2C"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-1 671,3</w:t>
            </w:r>
          </w:p>
        </w:tc>
      </w:tr>
      <w:tr w:rsidR="00E06BD3" w:rsidRPr="00E06BD3" w14:paraId="5F3D1626" w14:textId="77777777" w:rsidTr="00E06BD3">
        <w:trPr>
          <w:trHeight w:val="300"/>
        </w:trPr>
        <w:tc>
          <w:tcPr>
            <w:tcW w:w="1122" w:type="dxa"/>
            <w:tcBorders>
              <w:top w:val="nil"/>
              <w:left w:val="single" w:sz="8" w:space="0" w:color="auto"/>
              <w:bottom w:val="single" w:sz="8" w:space="0" w:color="auto"/>
              <w:right w:val="single" w:sz="8" w:space="0" w:color="auto"/>
            </w:tcBorders>
            <w:shd w:val="clear" w:color="000000" w:fill="FFFFFF"/>
            <w:vAlign w:val="center"/>
            <w:hideMark/>
          </w:tcPr>
          <w:p w14:paraId="7BFE3E32"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Resultat</w:t>
            </w:r>
          </w:p>
        </w:tc>
        <w:tc>
          <w:tcPr>
            <w:tcW w:w="989" w:type="dxa"/>
            <w:tcBorders>
              <w:top w:val="nil"/>
              <w:left w:val="nil"/>
              <w:bottom w:val="single" w:sz="8" w:space="0" w:color="auto"/>
              <w:right w:val="single" w:sz="8" w:space="0" w:color="auto"/>
            </w:tcBorders>
            <w:shd w:val="clear" w:color="000000" w:fill="FFFFFF"/>
            <w:vAlign w:val="center"/>
            <w:hideMark/>
          </w:tcPr>
          <w:p w14:paraId="63A4FDC5"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-52,7</w:t>
            </w:r>
          </w:p>
        </w:tc>
        <w:tc>
          <w:tcPr>
            <w:tcW w:w="849" w:type="dxa"/>
            <w:tcBorders>
              <w:top w:val="nil"/>
              <w:left w:val="nil"/>
              <w:bottom w:val="single" w:sz="8" w:space="0" w:color="auto"/>
              <w:right w:val="single" w:sz="8" w:space="0" w:color="auto"/>
            </w:tcBorders>
            <w:shd w:val="clear" w:color="000000" w:fill="FFFFFF"/>
            <w:vAlign w:val="center"/>
            <w:hideMark/>
          </w:tcPr>
          <w:p w14:paraId="4BA86747"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-33,3</w:t>
            </w:r>
          </w:p>
        </w:tc>
        <w:tc>
          <w:tcPr>
            <w:tcW w:w="901" w:type="dxa"/>
            <w:tcBorders>
              <w:top w:val="nil"/>
              <w:left w:val="nil"/>
              <w:bottom w:val="single" w:sz="8" w:space="0" w:color="auto"/>
              <w:right w:val="single" w:sz="8" w:space="0" w:color="auto"/>
            </w:tcBorders>
            <w:shd w:val="clear" w:color="000000" w:fill="FFFFFF"/>
            <w:vAlign w:val="center"/>
            <w:hideMark/>
          </w:tcPr>
          <w:p w14:paraId="168EDA2C"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-19,5</w:t>
            </w:r>
          </w:p>
        </w:tc>
        <w:tc>
          <w:tcPr>
            <w:tcW w:w="949" w:type="dxa"/>
            <w:tcBorders>
              <w:top w:val="nil"/>
              <w:left w:val="nil"/>
              <w:bottom w:val="single" w:sz="8" w:space="0" w:color="auto"/>
              <w:right w:val="single" w:sz="8" w:space="0" w:color="auto"/>
            </w:tcBorders>
            <w:shd w:val="clear" w:color="auto" w:fill="auto"/>
            <w:vAlign w:val="center"/>
            <w:hideMark/>
          </w:tcPr>
          <w:p w14:paraId="0154997D"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49,6</w:t>
            </w:r>
          </w:p>
        </w:tc>
        <w:tc>
          <w:tcPr>
            <w:tcW w:w="1134" w:type="dxa"/>
            <w:tcBorders>
              <w:top w:val="nil"/>
              <w:left w:val="nil"/>
              <w:bottom w:val="single" w:sz="8" w:space="0" w:color="auto"/>
              <w:right w:val="single" w:sz="8" w:space="0" w:color="auto"/>
            </w:tcBorders>
            <w:shd w:val="clear" w:color="000000" w:fill="FFFFFF"/>
            <w:vAlign w:val="center"/>
            <w:hideMark/>
          </w:tcPr>
          <w:p w14:paraId="2590F92C"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-70,4</w:t>
            </w:r>
          </w:p>
        </w:tc>
        <w:tc>
          <w:tcPr>
            <w:tcW w:w="850" w:type="dxa"/>
            <w:tcBorders>
              <w:top w:val="nil"/>
              <w:left w:val="nil"/>
              <w:bottom w:val="single" w:sz="8" w:space="0" w:color="auto"/>
              <w:right w:val="single" w:sz="8" w:space="0" w:color="auto"/>
            </w:tcBorders>
            <w:shd w:val="clear" w:color="000000" w:fill="FFFFFF"/>
            <w:vAlign w:val="center"/>
            <w:hideMark/>
          </w:tcPr>
          <w:p w14:paraId="45B3DFA2"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-46,8</w:t>
            </w:r>
          </w:p>
        </w:tc>
        <w:tc>
          <w:tcPr>
            <w:tcW w:w="851" w:type="dxa"/>
            <w:tcBorders>
              <w:top w:val="nil"/>
              <w:left w:val="nil"/>
              <w:bottom w:val="single" w:sz="8" w:space="0" w:color="auto"/>
              <w:right w:val="single" w:sz="8" w:space="0" w:color="auto"/>
            </w:tcBorders>
            <w:shd w:val="clear" w:color="000000" w:fill="FFFFFF"/>
            <w:vAlign w:val="center"/>
            <w:hideMark/>
          </w:tcPr>
          <w:p w14:paraId="2097163E"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-81,3</w:t>
            </w:r>
          </w:p>
        </w:tc>
      </w:tr>
    </w:tbl>
    <w:p w14:paraId="3705C1EC" w14:textId="77777777" w:rsidR="00A03FE6" w:rsidRDefault="00A03FE6" w:rsidP="0065287C">
      <w:pPr>
        <w:rPr>
          <w:rFonts w:eastAsiaTheme="majorEastAsia" w:cstheme="minorHAnsi"/>
          <w:sz w:val="24"/>
        </w:rPr>
      </w:pPr>
    </w:p>
    <w:p w14:paraId="16096D64" w14:textId="5B664118" w:rsidR="0065287C" w:rsidRPr="00696B88" w:rsidRDefault="00C05EE6" w:rsidP="002863DD">
      <w:pPr>
        <w:rPr>
          <w:sz w:val="24"/>
        </w:rPr>
      </w:pPr>
      <w:r w:rsidRPr="00696B88">
        <w:rPr>
          <w:rFonts w:eastAsiaTheme="majorEastAsia" w:cstheme="minorHAnsi"/>
          <w:sz w:val="24"/>
        </w:rPr>
        <w:t xml:space="preserve">Aktuellt bokslut avser perioden januari till och med </w:t>
      </w:r>
      <w:r w:rsidR="00AA2512" w:rsidRPr="00696B88">
        <w:rPr>
          <w:rFonts w:eastAsiaTheme="majorEastAsia" w:cstheme="minorHAnsi"/>
          <w:sz w:val="24"/>
        </w:rPr>
        <w:t>juli</w:t>
      </w:r>
      <w:r w:rsidRPr="00696B88">
        <w:rPr>
          <w:rFonts w:eastAsiaTheme="majorEastAsia" w:cstheme="minorHAnsi"/>
          <w:sz w:val="24"/>
        </w:rPr>
        <w:t xml:space="preserve"> </w:t>
      </w:r>
      <w:r w:rsidR="00696B88" w:rsidRPr="00696B88">
        <w:rPr>
          <w:rFonts w:eastAsiaTheme="majorEastAsia" w:cstheme="minorHAnsi"/>
          <w:sz w:val="24"/>
        </w:rPr>
        <w:t>2023</w:t>
      </w:r>
      <w:r w:rsidRPr="00696B88">
        <w:rPr>
          <w:rFonts w:eastAsiaTheme="majorEastAsia" w:cstheme="minorHAnsi"/>
          <w:sz w:val="24"/>
        </w:rPr>
        <w:t>.</w:t>
      </w:r>
      <w:r w:rsidR="0065287C" w:rsidRPr="00696B88">
        <w:rPr>
          <w:sz w:val="24"/>
        </w:rPr>
        <w:t xml:space="preserve"> Resultatet för förvaltningen för perioden jan-</w:t>
      </w:r>
      <w:r w:rsidR="00AA2512" w:rsidRPr="00696B88">
        <w:rPr>
          <w:sz w:val="24"/>
        </w:rPr>
        <w:t>juli</w:t>
      </w:r>
      <w:r w:rsidR="0065287C" w:rsidRPr="00696B88">
        <w:rPr>
          <w:sz w:val="24"/>
        </w:rPr>
        <w:t xml:space="preserve"> uppgår till </w:t>
      </w:r>
      <w:r w:rsidR="00A03FE6" w:rsidRPr="00696B88">
        <w:rPr>
          <w:sz w:val="24"/>
        </w:rPr>
        <w:t xml:space="preserve">– </w:t>
      </w:r>
      <w:r w:rsidR="00696B88" w:rsidRPr="00696B88">
        <w:rPr>
          <w:sz w:val="24"/>
        </w:rPr>
        <w:t>52,7</w:t>
      </w:r>
      <w:r w:rsidR="00A03FE6" w:rsidRPr="00696B88">
        <w:rPr>
          <w:sz w:val="24"/>
        </w:rPr>
        <w:t xml:space="preserve"> </w:t>
      </w:r>
      <w:r w:rsidR="0065287C" w:rsidRPr="00696B88">
        <w:rPr>
          <w:sz w:val="24"/>
        </w:rPr>
        <w:t>m</w:t>
      </w:r>
      <w:r w:rsidR="00A03FE6" w:rsidRPr="00696B88">
        <w:rPr>
          <w:sz w:val="24"/>
        </w:rPr>
        <w:t>n</w:t>
      </w:r>
      <w:r w:rsidR="0065287C" w:rsidRPr="00696B88">
        <w:rPr>
          <w:sz w:val="24"/>
        </w:rPr>
        <w:t xml:space="preserve">kr, vilket är en </w:t>
      </w:r>
      <w:r w:rsidR="00A03FE6" w:rsidRPr="00696B88">
        <w:rPr>
          <w:sz w:val="24"/>
        </w:rPr>
        <w:t xml:space="preserve">negativ </w:t>
      </w:r>
      <w:r w:rsidR="0065287C" w:rsidRPr="00696B88">
        <w:rPr>
          <w:sz w:val="24"/>
        </w:rPr>
        <w:t>avvikelse mot budget på </w:t>
      </w:r>
      <w:r w:rsidR="00696B88" w:rsidRPr="00696B88">
        <w:rPr>
          <w:sz w:val="24"/>
        </w:rPr>
        <w:t>19,5</w:t>
      </w:r>
      <w:r w:rsidR="0065287C" w:rsidRPr="00696B88">
        <w:rPr>
          <w:sz w:val="24"/>
        </w:rPr>
        <w:t xml:space="preserve"> mkr.</w:t>
      </w:r>
    </w:p>
    <w:p w14:paraId="02B6547F" w14:textId="7E837B6B" w:rsidR="0065287C" w:rsidRPr="00696B88" w:rsidRDefault="00A03FE6" w:rsidP="002863DD">
      <w:pPr>
        <w:rPr>
          <w:sz w:val="24"/>
        </w:rPr>
      </w:pPr>
      <w:r w:rsidRPr="00696B88">
        <w:rPr>
          <w:sz w:val="24"/>
        </w:rPr>
        <w:t>Underskottet</w:t>
      </w:r>
      <w:r w:rsidR="0065287C" w:rsidRPr="00696B88">
        <w:rPr>
          <w:sz w:val="24"/>
        </w:rPr>
        <w:t xml:space="preserve"> kan härledas till VA-verksamheten </w:t>
      </w:r>
      <w:r w:rsidRPr="00696B88">
        <w:rPr>
          <w:sz w:val="24"/>
        </w:rPr>
        <w:t xml:space="preserve">som </w:t>
      </w:r>
      <w:r w:rsidR="00696B88" w:rsidRPr="00696B88">
        <w:rPr>
          <w:sz w:val="24"/>
        </w:rPr>
        <w:t xml:space="preserve">fortsatt </w:t>
      </w:r>
      <w:r w:rsidRPr="00696B88">
        <w:rPr>
          <w:sz w:val="24"/>
        </w:rPr>
        <w:t xml:space="preserve">präglas av ett par engångseffekter i form av rivningskostnader samt utrangering av Kodammarnas gamla pumpstation. Därtill utgör även </w:t>
      </w:r>
      <w:r w:rsidR="00696B88" w:rsidRPr="00696B88">
        <w:rPr>
          <w:sz w:val="24"/>
        </w:rPr>
        <w:t xml:space="preserve">kraftigt </w:t>
      </w:r>
      <w:r w:rsidRPr="00696B88">
        <w:rPr>
          <w:sz w:val="24"/>
        </w:rPr>
        <w:t>ökade räntekostnader en negativ avvikelse om</w:t>
      </w:r>
      <w:r w:rsidR="00696B88" w:rsidRPr="00696B88">
        <w:rPr>
          <w:sz w:val="24"/>
        </w:rPr>
        <w:t xml:space="preserve"> dryga</w:t>
      </w:r>
      <w:r w:rsidRPr="00696B88">
        <w:rPr>
          <w:sz w:val="24"/>
        </w:rPr>
        <w:t xml:space="preserve"> – </w:t>
      </w:r>
      <w:r w:rsidR="00696B88" w:rsidRPr="00696B88">
        <w:rPr>
          <w:sz w:val="24"/>
        </w:rPr>
        <w:t>10</w:t>
      </w:r>
      <w:r w:rsidRPr="00696B88">
        <w:rPr>
          <w:sz w:val="24"/>
        </w:rPr>
        <w:t xml:space="preserve"> mnkr jämfört med budget</w:t>
      </w:r>
      <w:r w:rsidR="00696B88" w:rsidRPr="00696B88">
        <w:rPr>
          <w:sz w:val="24"/>
        </w:rPr>
        <w:t>.</w:t>
      </w:r>
    </w:p>
    <w:p w14:paraId="154E5391" w14:textId="514F1E79" w:rsidR="0065287C" w:rsidRPr="004B7ACA" w:rsidRDefault="0065287C" w:rsidP="002863DD">
      <w:pPr>
        <w:rPr>
          <w:sz w:val="24"/>
        </w:rPr>
      </w:pPr>
      <w:r w:rsidRPr="00696B88">
        <w:rPr>
          <w:sz w:val="24"/>
        </w:rPr>
        <w:t xml:space="preserve">Prognosen för året </w:t>
      </w:r>
      <w:r w:rsidR="00A075FC" w:rsidRPr="00696B88">
        <w:rPr>
          <w:sz w:val="24"/>
        </w:rPr>
        <w:t xml:space="preserve">är oförändrad jämfört med </w:t>
      </w:r>
      <w:r w:rsidR="004E51CE" w:rsidRPr="00696B88">
        <w:rPr>
          <w:sz w:val="24"/>
        </w:rPr>
        <w:t>mars</w:t>
      </w:r>
      <w:r w:rsidR="00A075FC" w:rsidRPr="00696B88">
        <w:rPr>
          <w:sz w:val="24"/>
        </w:rPr>
        <w:t xml:space="preserve">, det vill säga </w:t>
      </w:r>
      <w:r w:rsidRPr="00696B88">
        <w:rPr>
          <w:sz w:val="24"/>
        </w:rPr>
        <w:t xml:space="preserve">ett </w:t>
      </w:r>
      <w:r w:rsidR="00A03FE6" w:rsidRPr="00696B88">
        <w:rPr>
          <w:sz w:val="24"/>
        </w:rPr>
        <w:t>underskott</w:t>
      </w:r>
      <w:r w:rsidR="004E51CE" w:rsidRPr="00696B88">
        <w:rPr>
          <w:sz w:val="24"/>
        </w:rPr>
        <w:t xml:space="preserve"> </w:t>
      </w:r>
      <w:r w:rsidRPr="00696B88">
        <w:rPr>
          <w:sz w:val="24"/>
        </w:rPr>
        <w:t xml:space="preserve">gentemot budget på </w:t>
      </w:r>
      <w:r w:rsidR="00696B88" w:rsidRPr="00696B88">
        <w:rPr>
          <w:sz w:val="24"/>
        </w:rPr>
        <w:t>23,6</w:t>
      </w:r>
      <w:r w:rsidRPr="00696B88">
        <w:rPr>
          <w:sz w:val="24"/>
        </w:rPr>
        <w:t xml:space="preserve"> m</w:t>
      </w:r>
      <w:r w:rsidR="00A03FE6" w:rsidRPr="00696B88">
        <w:rPr>
          <w:sz w:val="24"/>
        </w:rPr>
        <w:t>n</w:t>
      </w:r>
      <w:r w:rsidRPr="00696B88">
        <w:rPr>
          <w:sz w:val="24"/>
        </w:rPr>
        <w:t>kr</w:t>
      </w:r>
      <w:r w:rsidR="00A075FC" w:rsidRPr="00696B88">
        <w:rPr>
          <w:sz w:val="24"/>
        </w:rPr>
        <w:t>.</w:t>
      </w:r>
      <w:r w:rsidRPr="00696B88">
        <w:rPr>
          <w:sz w:val="24"/>
        </w:rPr>
        <w:t xml:space="preserve"> </w:t>
      </w:r>
      <w:r w:rsidR="00A03FE6" w:rsidRPr="00696B88">
        <w:rPr>
          <w:sz w:val="24"/>
        </w:rPr>
        <w:t>Underskottet</w:t>
      </w:r>
      <w:r w:rsidR="004E51CE" w:rsidRPr="00696B88">
        <w:rPr>
          <w:sz w:val="24"/>
        </w:rPr>
        <w:t xml:space="preserve"> </w:t>
      </w:r>
      <w:r w:rsidR="00A03FE6" w:rsidRPr="00696B88">
        <w:rPr>
          <w:sz w:val="24"/>
        </w:rPr>
        <w:t>förklaras VA-kollektivets ökade räntekostnader samt ökade kostnader för kemikalier</w:t>
      </w:r>
      <w:r w:rsidR="004E51CE" w:rsidRPr="00696B88">
        <w:rPr>
          <w:sz w:val="24"/>
        </w:rPr>
        <w:t xml:space="preserve">. </w:t>
      </w:r>
      <w:r w:rsidR="00A075FC" w:rsidRPr="00696B88">
        <w:rPr>
          <w:sz w:val="24"/>
        </w:rPr>
        <w:t xml:space="preserve">Förvaltningen avser återkomma med en ny prognos i samband med </w:t>
      </w:r>
      <w:proofErr w:type="gramStart"/>
      <w:r w:rsidR="00AA2512" w:rsidRPr="00696B88">
        <w:rPr>
          <w:sz w:val="24"/>
          <w:szCs w:val="28"/>
        </w:rPr>
        <w:t>delårsrapport augusti</w:t>
      </w:r>
      <w:proofErr w:type="gramEnd"/>
      <w:r w:rsidR="00A075FC" w:rsidRPr="00696B88">
        <w:rPr>
          <w:sz w:val="24"/>
        </w:rPr>
        <w:t xml:space="preserve">, och </w:t>
      </w:r>
      <w:r w:rsidR="00A075FC" w:rsidRPr="004B7ACA">
        <w:rPr>
          <w:sz w:val="24"/>
        </w:rPr>
        <w:t xml:space="preserve">presenteras för nämnden i </w:t>
      </w:r>
      <w:r w:rsidR="00AA2512" w:rsidRPr="004B7ACA">
        <w:rPr>
          <w:sz w:val="24"/>
        </w:rPr>
        <w:t>september</w:t>
      </w:r>
      <w:r w:rsidR="00A075FC" w:rsidRPr="004B7ACA">
        <w:rPr>
          <w:sz w:val="24"/>
        </w:rPr>
        <w:t>.</w:t>
      </w:r>
    </w:p>
    <w:p w14:paraId="0CF953D3" w14:textId="3F3B9B82" w:rsidR="00757ADB" w:rsidRDefault="00BB78F6" w:rsidP="002863DD">
      <w:pPr>
        <w:spacing w:after="240"/>
        <w:rPr>
          <w:sz w:val="24"/>
        </w:rPr>
      </w:pPr>
      <w:bookmarkStart w:id="1" w:name="_Hlk134542291"/>
      <w:r w:rsidRPr="004B7ACA">
        <w:rPr>
          <w:sz w:val="24"/>
        </w:rPr>
        <w:t xml:space="preserve">I aktuell rapport redovisas även investeringar, reinvesteringar samt exploateringar. Prognos </w:t>
      </w:r>
      <w:r w:rsidR="0076632F" w:rsidRPr="004B7ACA">
        <w:rPr>
          <w:sz w:val="24"/>
        </w:rPr>
        <w:t>2023</w:t>
      </w:r>
      <w:r w:rsidRPr="004B7ACA">
        <w:rPr>
          <w:sz w:val="24"/>
        </w:rPr>
        <w:t xml:space="preserve"> för investeringarna bedöms till </w:t>
      </w:r>
      <w:r w:rsidR="004B7ACA" w:rsidRPr="004B7ACA">
        <w:rPr>
          <w:sz w:val="24"/>
        </w:rPr>
        <w:t>633</w:t>
      </w:r>
      <w:r w:rsidRPr="004B7ACA">
        <w:rPr>
          <w:sz w:val="24"/>
        </w:rPr>
        <w:t xml:space="preserve"> m</w:t>
      </w:r>
      <w:r w:rsidR="0076632F" w:rsidRPr="004B7ACA">
        <w:rPr>
          <w:sz w:val="24"/>
        </w:rPr>
        <w:t>n</w:t>
      </w:r>
      <w:r w:rsidRPr="004B7ACA">
        <w:rPr>
          <w:sz w:val="24"/>
        </w:rPr>
        <w:t xml:space="preserve">kr mot budgeterade </w:t>
      </w:r>
      <w:r w:rsidR="0076632F" w:rsidRPr="004B7ACA">
        <w:rPr>
          <w:sz w:val="24"/>
        </w:rPr>
        <w:t>769</w:t>
      </w:r>
      <w:r w:rsidRPr="004B7ACA">
        <w:rPr>
          <w:sz w:val="24"/>
        </w:rPr>
        <w:t xml:space="preserve"> m</w:t>
      </w:r>
      <w:r w:rsidR="0076632F" w:rsidRPr="004B7ACA">
        <w:rPr>
          <w:sz w:val="24"/>
        </w:rPr>
        <w:t>n</w:t>
      </w:r>
      <w:r w:rsidRPr="004B7ACA">
        <w:rPr>
          <w:sz w:val="24"/>
        </w:rPr>
        <w:t xml:space="preserve">kr, en avvikelse om </w:t>
      </w:r>
      <w:r w:rsidR="004B7ACA" w:rsidRPr="004B7ACA">
        <w:rPr>
          <w:sz w:val="24"/>
        </w:rPr>
        <w:t>136</w:t>
      </w:r>
      <w:r w:rsidR="00D648E3" w:rsidRPr="004B7ACA">
        <w:rPr>
          <w:sz w:val="24"/>
        </w:rPr>
        <w:t xml:space="preserve"> </w:t>
      </w:r>
      <w:r w:rsidRPr="004B7ACA">
        <w:rPr>
          <w:sz w:val="24"/>
        </w:rPr>
        <w:t>m</w:t>
      </w:r>
      <w:r w:rsidR="0076632F" w:rsidRPr="004B7ACA">
        <w:rPr>
          <w:sz w:val="24"/>
        </w:rPr>
        <w:t>n</w:t>
      </w:r>
      <w:r w:rsidRPr="004B7ACA">
        <w:rPr>
          <w:sz w:val="24"/>
        </w:rPr>
        <w:t xml:space="preserve">kr. För reinvesteringarna bedöms helårets utfall landa på </w:t>
      </w:r>
      <w:r w:rsidR="004B7ACA" w:rsidRPr="004B7ACA">
        <w:rPr>
          <w:sz w:val="24"/>
        </w:rPr>
        <w:t>221</w:t>
      </w:r>
      <w:r w:rsidRPr="004B7ACA">
        <w:rPr>
          <w:sz w:val="24"/>
        </w:rPr>
        <w:t xml:space="preserve"> m</w:t>
      </w:r>
      <w:r w:rsidR="0076632F" w:rsidRPr="004B7ACA">
        <w:rPr>
          <w:sz w:val="24"/>
        </w:rPr>
        <w:t>n</w:t>
      </w:r>
      <w:r w:rsidRPr="004B7ACA">
        <w:rPr>
          <w:sz w:val="24"/>
        </w:rPr>
        <w:t xml:space="preserve">kr </w:t>
      </w:r>
      <w:r w:rsidR="0065287C" w:rsidRPr="004B7ACA">
        <w:rPr>
          <w:sz w:val="24"/>
        </w:rPr>
        <w:t xml:space="preserve">vilket </w:t>
      </w:r>
      <w:r w:rsidR="00B368F5" w:rsidRPr="004B7ACA">
        <w:rPr>
          <w:sz w:val="24"/>
        </w:rPr>
        <w:t xml:space="preserve">innebär en avvikelse på </w:t>
      </w:r>
      <w:r w:rsidR="004B7ACA" w:rsidRPr="004B7ACA">
        <w:rPr>
          <w:sz w:val="24"/>
        </w:rPr>
        <w:t>16</w:t>
      </w:r>
      <w:r w:rsidR="00B368F5" w:rsidRPr="004B7ACA">
        <w:rPr>
          <w:sz w:val="24"/>
        </w:rPr>
        <w:t xml:space="preserve"> m</w:t>
      </w:r>
      <w:r w:rsidR="0076632F" w:rsidRPr="004B7ACA">
        <w:rPr>
          <w:sz w:val="24"/>
        </w:rPr>
        <w:t>n</w:t>
      </w:r>
      <w:r w:rsidR="00B368F5" w:rsidRPr="004B7ACA">
        <w:rPr>
          <w:sz w:val="24"/>
        </w:rPr>
        <w:t xml:space="preserve">kr gentemot budget på </w:t>
      </w:r>
      <w:r w:rsidR="0076632F" w:rsidRPr="004B7ACA">
        <w:rPr>
          <w:sz w:val="24"/>
        </w:rPr>
        <w:t>237</w:t>
      </w:r>
      <w:r w:rsidR="00B368F5" w:rsidRPr="004B7ACA">
        <w:rPr>
          <w:sz w:val="24"/>
        </w:rPr>
        <w:t xml:space="preserve"> m</w:t>
      </w:r>
      <w:r w:rsidR="0076632F" w:rsidRPr="004B7ACA">
        <w:rPr>
          <w:sz w:val="24"/>
        </w:rPr>
        <w:t>n</w:t>
      </w:r>
      <w:r w:rsidR="00B368F5" w:rsidRPr="004B7ACA">
        <w:rPr>
          <w:sz w:val="24"/>
        </w:rPr>
        <w:t>kr</w:t>
      </w:r>
      <w:r w:rsidRPr="004B7ACA">
        <w:rPr>
          <w:sz w:val="24"/>
        </w:rPr>
        <w:t xml:space="preserve">. För exploateringar är helårsprognosen </w:t>
      </w:r>
      <w:r w:rsidR="0076632F" w:rsidRPr="004B7ACA">
        <w:rPr>
          <w:sz w:val="24"/>
        </w:rPr>
        <w:t>120</w:t>
      </w:r>
      <w:r w:rsidRPr="004B7ACA">
        <w:rPr>
          <w:sz w:val="24"/>
        </w:rPr>
        <w:t xml:space="preserve"> m</w:t>
      </w:r>
      <w:r w:rsidR="0076632F" w:rsidRPr="004B7ACA">
        <w:rPr>
          <w:sz w:val="24"/>
        </w:rPr>
        <w:t>n</w:t>
      </w:r>
      <w:r w:rsidRPr="004B7ACA">
        <w:rPr>
          <w:sz w:val="24"/>
        </w:rPr>
        <w:t xml:space="preserve">kr mot budgeterade </w:t>
      </w:r>
      <w:r w:rsidR="0076632F" w:rsidRPr="004B7ACA">
        <w:rPr>
          <w:sz w:val="24"/>
        </w:rPr>
        <w:t>140</w:t>
      </w:r>
      <w:r w:rsidRPr="004B7ACA">
        <w:rPr>
          <w:sz w:val="24"/>
        </w:rPr>
        <w:t xml:space="preserve"> m</w:t>
      </w:r>
      <w:r w:rsidR="0076632F" w:rsidRPr="004B7ACA">
        <w:rPr>
          <w:sz w:val="24"/>
        </w:rPr>
        <w:t>n</w:t>
      </w:r>
      <w:r w:rsidRPr="004B7ACA">
        <w:rPr>
          <w:sz w:val="24"/>
        </w:rPr>
        <w:t xml:space="preserve">kr, en </w:t>
      </w:r>
      <w:r w:rsidR="0076632F" w:rsidRPr="004B7ACA">
        <w:rPr>
          <w:sz w:val="24"/>
        </w:rPr>
        <w:t xml:space="preserve">negativ </w:t>
      </w:r>
      <w:r w:rsidRPr="004B7ACA">
        <w:rPr>
          <w:sz w:val="24"/>
        </w:rPr>
        <w:t xml:space="preserve">avvikelse om </w:t>
      </w:r>
      <w:r w:rsidR="0076632F" w:rsidRPr="004B7ACA">
        <w:rPr>
          <w:sz w:val="24"/>
        </w:rPr>
        <w:t>20</w:t>
      </w:r>
      <w:r w:rsidRPr="004B7ACA">
        <w:rPr>
          <w:sz w:val="24"/>
        </w:rPr>
        <w:t xml:space="preserve"> mkr.</w:t>
      </w:r>
    </w:p>
    <w:bookmarkEnd w:id="1"/>
    <w:p w14:paraId="720055B7" w14:textId="77777777" w:rsidR="00E753A3" w:rsidRPr="00BB78F6" w:rsidRDefault="00E753A3" w:rsidP="008C5C9B">
      <w:pPr>
        <w:rPr>
          <w:rFonts w:eastAsiaTheme="majorEastAsia" w:cstheme="minorHAnsi"/>
          <w:sz w:val="24"/>
        </w:rPr>
      </w:pPr>
    </w:p>
    <w:p w14:paraId="3880BC79" w14:textId="77777777" w:rsidR="00D70308" w:rsidRPr="00664CD8" w:rsidRDefault="00D70308" w:rsidP="00664CD8">
      <w:pPr>
        <w:pStyle w:val="Rubrik3"/>
        <w:rPr>
          <w:b w:val="0"/>
          <w:sz w:val="22"/>
          <w:szCs w:val="27"/>
        </w:rPr>
      </w:pPr>
      <w:r w:rsidRPr="00D70308">
        <w:rPr>
          <w:sz w:val="22"/>
          <w:szCs w:val="27"/>
        </w:rPr>
        <w:t>Kretslopp och vatten</w:t>
      </w:r>
    </w:p>
    <w:p w14:paraId="3DCB3D02" w14:textId="77777777" w:rsidR="00D70308" w:rsidRPr="00564F3E" w:rsidRDefault="00CB06C5" w:rsidP="000046E1">
      <w:pPr>
        <w:pStyle w:val="Rubrik2"/>
        <w:rPr>
          <w:rFonts w:ascii="Times New Roman" w:hAnsi="Times New Roman" w:cs="Times New Roman"/>
          <w:sz w:val="24"/>
        </w:rPr>
      </w:pPr>
      <w:r>
        <w:rPr>
          <w:rFonts w:ascii="Times New Roman" w:hAnsi="Times New Roman" w:cs="Times New Roman"/>
          <w:b w:val="0"/>
          <w:sz w:val="24"/>
        </w:rPr>
        <w:t>Marianne Erlands</w:t>
      </w:r>
      <w:r w:rsidR="00555FCB">
        <w:rPr>
          <w:rFonts w:ascii="Times New Roman" w:hAnsi="Times New Roman" w:cs="Times New Roman"/>
          <w:b w:val="0"/>
          <w:sz w:val="24"/>
        </w:rPr>
        <w:t>on</w:t>
      </w:r>
      <w:r w:rsidR="00D70308" w:rsidRPr="00564F3E">
        <w:rPr>
          <w:rFonts w:ascii="Times New Roman" w:hAnsi="Times New Roman" w:cs="Times New Roman"/>
          <w:b w:val="0"/>
          <w:sz w:val="24"/>
        </w:rPr>
        <w:br/>
        <w:t>Förvaltningsdirektör</w:t>
      </w:r>
    </w:p>
    <w:p w14:paraId="7FF3C036" w14:textId="77777777" w:rsidR="005C2DCD" w:rsidRPr="005C2DCD" w:rsidRDefault="005C2DCD" w:rsidP="005C2DCD"/>
    <w:p w14:paraId="08B1F337" w14:textId="77777777" w:rsidR="000228C1" w:rsidRDefault="000228C1">
      <w:pPr>
        <w:spacing w:after="240" w:line="240" w:lineRule="auto"/>
        <w:rPr>
          <w:rFonts w:asciiTheme="majorHAnsi" w:eastAsiaTheme="majorEastAsia" w:hAnsiTheme="majorHAnsi" w:cstheme="majorBidi"/>
          <w:b/>
          <w:color w:val="262626" w:themeColor="text1" w:themeTint="D9"/>
          <w:sz w:val="27"/>
          <w:szCs w:val="28"/>
        </w:rPr>
      </w:pPr>
      <w:r>
        <w:br w:type="page"/>
      </w:r>
    </w:p>
    <w:p w14:paraId="4521C8D6" w14:textId="33EC3B76" w:rsidR="00D70308" w:rsidRDefault="00D70308" w:rsidP="00D70308">
      <w:pPr>
        <w:pStyle w:val="Rubrik2"/>
      </w:pPr>
      <w:r>
        <w:lastRenderedPageBreak/>
        <w:t>Ärendet </w:t>
      </w:r>
    </w:p>
    <w:p w14:paraId="3F5E4AD3" w14:textId="16565A49" w:rsidR="00E753A3" w:rsidRPr="00461B68" w:rsidRDefault="00D773A5" w:rsidP="000228C1">
      <w:pPr>
        <w:rPr>
          <w:sz w:val="24"/>
        </w:rPr>
      </w:pPr>
      <w:r w:rsidRPr="008A0B39">
        <w:rPr>
          <w:rFonts w:ascii="Times New Roman" w:hAnsi="Times New Roman" w:cs="Times New Roman"/>
          <w:sz w:val="24"/>
        </w:rPr>
        <w:t>Enligt Kretslopps och vattennämndens uppföljnings- och rapporteringsrutin skall en ekonomisk lägesrapport upprättas, per månad, som skriftlig information till Kretslopps och vattennämnden, om inte det ekonomiska läget eller andra förhållanden föranleder annan hantering</w:t>
      </w:r>
      <w:r w:rsidR="000D198A" w:rsidRPr="008A0B39">
        <w:rPr>
          <w:rFonts w:ascii="Times New Roman" w:hAnsi="Times New Roman" w:cs="Times New Roman"/>
          <w:sz w:val="24"/>
        </w:rPr>
        <w:t xml:space="preserve">. </w:t>
      </w:r>
      <w:r w:rsidRPr="008A0B39">
        <w:rPr>
          <w:rFonts w:ascii="Times New Roman" w:hAnsi="Times New Roman" w:cs="Times New Roman"/>
          <w:sz w:val="24"/>
        </w:rPr>
        <w:t xml:space="preserve">I aktuell rapport redovisas det ekonomiska utfallet </w:t>
      </w:r>
      <w:r w:rsidR="000D198A" w:rsidRPr="008A0B39">
        <w:rPr>
          <w:rFonts w:ascii="Times New Roman" w:hAnsi="Times New Roman" w:cs="Times New Roman"/>
          <w:sz w:val="24"/>
        </w:rPr>
        <w:t xml:space="preserve">per </w:t>
      </w:r>
      <w:r w:rsidR="00AA2512">
        <w:rPr>
          <w:rFonts w:ascii="Times New Roman" w:hAnsi="Times New Roman" w:cs="Times New Roman"/>
          <w:sz w:val="24"/>
        </w:rPr>
        <w:t>31</w:t>
      </w:r>
      <w:r w:rsidR="000D198A" w:rsidRPr="008A0B39">
        <w:rPr>
          <w:rFonts w:ascii="Times New Roman" w:hAnsi="Times New Roman" w:cs="Times New Roman"/>
          <w:sz w:val="24"/>
        </w:rPr>
        <w:t xml:space="preserve"> </w:t>
      </w:r>
      <w:r w:rsidR="00AA2512">
        <w:rPr>
          <w:rFonts w:ascii="Times New Roman" w:hAnsi="Times New Roman" w:cs="Times New Roman"/>
          <w:sz w:val="24"/>
        </w:rPr>
        <w:t>juli</w:t>
      </w:r>
      <w:r w:rsidR="000D198A" w:rsidRPr="008A0B39">
        <w:rPr>
          <w:rFonts w:ascii="Times New Roman" w:hAnsi="Times New Roman" w:cs="Times New Roman"/>
          <w:sz w:val="24"/>
        </w:rPr>
        <w:t xml:space="preserve"> </w:t>
      </w:r>
      <w:r w:rsidR="00061D2F">
        <w:rPr>
          <w:rFonts w:ascii="Times New Roman" w:hAnsi="Times New Roman" w:cs="Times New Roman"/>
          <w:sz w:val="24"/>
        </w:rPr>
        <w:t>2023</w:t>
      </w:r>
      <w:r w:rsidR="00D90ACD">
        <w:rPr>
          <w:rFonts w:ascii="Times New Roman" w:hAnsi="Times New Roman" w:cs="Times New Roman"/>
          <w:sz w:val="24"/>
        </w:rPr>
        <w:t>.</w:t>
      </w:r>
      <w:r w:rsidR="008A0B39">
        <w:rPr>
          <w:rFonts w:ascii="Times New Roman" w:hAnsi="Times New Roman" w:cs="Times New Roman"/>
          <w:sz w:val="24"/>
        </w:rPr>
        <w:t xml:space="preserve"> </w:t>
      </w:r>
      <w:r w:rsidR="00D90ACD">
        <w:rPr>
          <w:rFonts w:ascii="Times New Roman" w:hAnsi="Times New Roman" w:cs="Times New Roman"/>
          <w:sz w:val="24"/>
        </w:rPr>
        <w:t>Avseende investeringar lämnas även en helårsprognos</w:t>
      </w:r>
      <w:r w:rsidR="008A0B39">
        <w:rPr>
          <w:rFonts w:ascii="Times New Roman" w:hAnsi="Times New Roman" w:cs="Times New Roman"/>
          <w:sz w:val="24"/>
        </w:rPr>
        <w:t>.</w:t>
      </w:r>
    </w:p>
    <w:p w14:paraId="67F9BCD6" w14:textId="240B5F3C" w:rsidR="0076632F" w:rsidRPr="0076632F" w:rsidRDefault="00D70308" w:rsidP="0076632F">
      <w:pPr>
        <w:pStyle w:val="Rubrik2"/>
      </w:pPr>
      <w:r w:rsidRPr="000228C1">
        <w:t>Beskrivning av ärendet</w:t>
      </w:r>
    </w:p>
    <w:p w14:paraId="1A634A06" w14:textId="78CDF185" w:rsidR="00E753A3" w:rsidRDefault="00E753A3" w:rsidP="000228C1">
      <w:pPr>
        <w:rPr>
          <w:rFonts w:asciiTheme="majorHAnsi" w:hAnsiTheme="majorHAnsi" w:cstheme="majorHAnsi"/>
          <w:b/>
          <w:bCs/>
          <w:sz w:val="24"/>
        </w:rPr>
      </w:pPr>
      <w:r w:rsidRPr="00E753A3">
        <w:rPr>
          <w:rFonts w:asciiTheme="majorHAnsi" w:hAnsiTheme="majorHAnsi" w:cstheme="majorHAnsi"/>
          <w:b/>
          <w:bCs/>
          <w:sz w:val="24"/>
        </w:rPr>
        <w:t xml:space="preserve">Driftsredovisning </w:t>
      </w:r>
      <w:r w:rsidR="0065287C">
        <w:rPr>
          <w:rFonts w:asciiTheme="majorHAnsi" w:hAnsiTheme="majorHAnsi" w:cstheme="majorHAnsi"/>
          <w:b/>
          <w:bCs/>
          <w:sz w:val="24"/>
        </w:rPr>
        <w:t xml:space="preserve">och prognos </w:t>
      </w:r>
      <w:r w:rsidRPr="00E753A3">
        <w:rPr>
          <w:rFonts w:asciiTheme="majorHAnsi" w:hAnsiTheme="majorHAnsi" w:cstheme="majorHAnsi"/>
          <w:b/>
          <w:bCs/>
          <w:sz w:val="24"/>
        </w:rPr>
        <w:t xml:space="preserve">per </w:t>
      </w:r>
      <w:r w:rsidR="00AA2512">
        <w:rPr>
          <w:rFonts w:asciiTheme="majorHAnsi" w:hAnsiTheme="majorHAnsi" w:cstheme="majorHAnsi"/>
          <w:b/>
          <w:bCs/>
          <w:sz w:val="24"/>
        </w:rPr>
        <w:t>juli</w:t>
      </w:r>
    </w:p>
    <w:p w14:paraId="23DBA209" w14:textId="35327124" w:rsidR="0065287C" w:rsidRDefault="0065287C" w:rsidP="00AC43D5">
      <w:pPr>
        <w:pStyle w:val="Rubrik3"/>
      </w:pPr>
      <w:r w:rsidRPr="0065287C">
        <w:t>VA-verksamheten</w:t>
      </w:r>
    </w:p>
    <w:p w14:paraId="5E3EA984" w14:textId="595236EF" w:rsidR="00AC43D5" w:rsidRDefault="00AC43D5" w:rsidP="0065287C">
      <w:pPr>
        <w:rPr>
          <w:sz w:val="24"/>
          <w:szCs w:val="28"/>
        </w:rPr>
      </w:pPr>
    </w:p>
    <w:tbl>
      <w:tblPr>
        <w:tblW w:w="7361" w:type="dxa"/>
        <w:tblCellMar>
          <w:left w:w="70" w:type="dxa"/>
          <w:right w:w="70" w:type="dxa"/>
        </w:tblCellMar>
        <w:tblLook w:val="04A0" w:firstRow="1" w:lastRow="0" w:firstColumn="1" w:lastColumn="0" w:noHBand="0" w:noVBand="1"/>
      </w:tblPr>
      <w:tblGrid>
        <w:gridCol w:w="1616"/>
        <w:gridCol w:w="782"/>
        <w:gridCol w:w="850"/>
        <w:gridCol w:w="879"/>
        <w:gridCol w:w="683"/>
        <w:gridCol w:w="850"/>
        <w:gridCol w:w="851"/>
        <w:gridCol w:w="850"/>
      </w:tblGrid>
      <w:tr w:rsidR="00E06BD3" w:rsidRPr="00E06BD3" w14:paraId="74FBF70C" w14:textId="77777777" w:rsidTr="00E06BD3">
        <w:trPr>
          <w:trHeight w:val="540"/>
        </w:trPr>
        <w:tc>
          <w:tcPr>
            <w:tcW w:w="1616" w:type="dxa"/>
            <w:tcBorders>
              <w:top w:val="single" w:sz="8" w:space="0" w:color="auto"/>
              <w:left w:val="single" w:sz="8" w:space="0" w:color="auto"/>
              <w:bottom w:val="single" w:sz="12" w:space="0" w:color="auto"/>
              <w:right w:val="single" w:sz="8" w:space="0" w:color="auto"/>
            </w:tcBorders>
            <w:shd w:val="clear" w:color="000000" w:fill="E5E5E5"/>
            <w:vAlign w:val="center"/>
            <w:hideMark/>
          </w:tcPr>
          <w:p w14:paraId="7E610785"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mnkr</w:t>
            </w:r>
          </w:p>
        </w:tc>
        <w:tc>
          <w:tcPr>
            <w:tcW w:w="782" w:type="dxa"/>
            <w:tcBorders>
              <w:top w:val="single" w:sz="8" w:space="0" w:color="auto"/>
              <w:left w:val="nil"/>
              <w:bottom w:val="single" w:sz="12" w:space="0" w:color="auto"/>
              <w:right w:val="single" w:sz="8" w:space="0" w:color="auto"/>
            </w:tcBorders>
            <w:shd w:val="clear" w:color="000000" w:fill="E5E5E5"/>
            <w:vAlign w:val="center"/>
            <w:hideMark/>
          </w:tcPr>
          <w:p w14:paraId="6B6A6D87"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Utfall jan-juli</w:t>
            </w:r>
          </w:p>
        </w:tc>
        <w:tc>
          <w:tcPr>
            <w:tcW w:w="850" w:type="dxa"/>
            <w:tcBorders>
              <w:top w:val="single" w:sz="8" w:space="0" w:color="auto"/>
              <w:left w:val="nil"/>
              <w:bottom w:val="single" w:sz="12" w:space="0" w:color="auto"/>
              <w:right w:val="single" w:sz="8" w:space="0" w:color="auto"/>
            </w:tcBorders>
            <w:shd w:val="clear" w:color="000000" w:fill="E5E5E5"/>
            <w:vAlign w:val="center"/>
            <w:hideMark/>
          </w:tcPr>
          <w:p w14:paraId="6CF8C9C1"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Budget jan-juli</w:t>
            </w:r>
          </w:p>
        </w:tc>
        <w:tc>
          <w:tcPr>
            <w:tcW w:w="879" w:type="dxa"/>
            <w:tcBorders>
              <w:top w:val="single" w:sz="8" w:space="0" w:color="auto"/>
              <w:left w:val="nil"/>
              <w:bottom w:val="single" w:sz="12" w:space="0" w:color="auto"/>
              <w:right w:val="single" w:sz="8" w:space="0" w:color="auto"/>
            </w:tcBorders>
            <w:shd w:val="clear" w:color="000000" w:fill="E5E5E5"/>
            <w:vAlign w:val="center"/>
            <w:hideMark/>
          </w:tcPr>
          <w:p w14:paraId="1F60D8BE"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Avvikelse</w:t>
            </w:r>
          </w:p>
        </w:tc>
        <w:tc>
          <w:tcPr>
            <w:tcW w:w="683" w:type="dxa"/>
            <w:tcBorders>
              <w:top w:val="single" w:sz="8" w:space="0" w:color="auto"/>
              <w:left w:val="nil"/>
              <w:bottom w:val="single" w:sz="12" w:space="0" w:color="auto"/>
              <w:right w:val="single" w:sz="8" w:space="0" w:color="auto"/>
            </w:tcBorders>
            <w:shd w:val="clear" w:color="000000" w:fill="E5E5E5"/>
            <w:vAlign w:val="center"/>
            <w:hideMark/>
          </w:tcPr>
          <w:p w14:paraId="6167AC97"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 xml:space="preserve">Utfall </w:t>
            </w:r>
            <w:proofErr w:type="spellStart"/>
            <w:r w:rsidRPr="00E06BD3">
              <w:rPr>
                <w:rFonts w:ascii="Arial" w:eastAsia="Times New Roman" w:hAnsi="Arial" w:cs="Arial"/>
                <w:b/>
                <w:bCs/>
                <w:color w:val="000000"/>
                <w:sz w:val="16"/>
                <w:szCs w:val="16"/>
                <w:lang w:eastAsia="sv-SE"/>
              </w:rPr>
              <w:t>fg</w:t>
            </w:r>
            <w:proofErr w:type="spellEnd"/>
            <w:r w:rsidRPr="00E06BD3">
              <w:rPr>
                <w:rFonts w:ascii="Arial" w:eastAsia="Times New Roman" w:hAnsi="Arial" w:cs="Arial"/>
                <w:b/>
                <w:bCs/>
                <w:color w:val="000000"/>
                <w:sz w:val="16"/>
                <w:szCs w:val="16"/>
                <w:lang w:eastAsia="sv-SE"/>
              </w:rPr>
              <w:t xml:space="preserve"> år</w:t>
            </w:r>
          </w:p>
        </w:tc>
        <w:tc>
          <w:tcPr>
            <w:tcW w:w="850" w:type="dxa"/>
            <w:tcBorders>
              <w:top w:val="single" w:sz="8" w:space="0" w:color="auto"/>
              <w:left w:val="nil"/>
              <w:bottom w:val="single" w:sz="12" w:space="0" w:color="auto"/>
              <w:right w:val="single" w:sz="8" w:space="0" w:color="auto"/>
            </w:tcBorders>
            <w:shd w:val="clear" w:color="000000" w:fill="B4B4B4"/>
            <w:vAlign w:val="center"/>
            <w:hideMark/>
          </w:tcPr>
          <w:p w14:paraId="61550634"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Prognos helår</w:t>
            </w:r>
          </w:p>
        </w:tc>
        <w:tc>
          <w:tcPr>
            <w:tcW w:w="851" w:type="dxa"/>
            <w:tcBorders>
              <w:top w:val="single" w:sz="8" w:space="0" w:color="auto"/>
              <w:left w:val="nil"/>
              <w:bottom w:val="single" w:sz="12" w:space="0" w:color="auto"/>
              <w:right w:val="single" w:sz="8" w:space="0" w:color="auto"/>
            </w:tcBorders>
            <w:shd w:val="clear" w:color="000000" w:fill="B4B4B4"/>
            <w:vAlign w:val="center"/>
            <w:hideMark/>
          </w:tcPr>
          <w:p w14:paraId="15DBE191"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Budget helår</w:t>
            </w:r>
          </w:p>
        </w:tc>
        <w:tc>
          <w:tcPr>
            <w:tcW w:w="850" w:type="dxa"/>
            <w:tcBorders>
              <w:top w:val="single" w:sz="8" w:space="0" w:color="auto"/>
              <w:left w:val="nil"/>
              <w:bottom w:val="single" w:sz="12" w:space="0" w:color="auto"/>
              <w:right w:val="single" w:sz="8" w:space="0" w:color="auto"/>
            </w:tcBorders>
            <w:shd w:val="clear" w:color="000000" w:fill="B4B4B4"/>
            <w:vAlign w:val="center"/>
            <w:hideMark/>
          </w:tcPr>
          <w:p w14:paraId="2F694800"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 xml:space="preserve">Bokslut </w:t>
            </w:r>
            <w:proofErr w:type="spellStart"/>
            <w:r w:rsidRPr="00E06BD3">
              <w:rPr>
                <w:rFonts w:ascii="Arial" w:eastAsia="Times New Roman" w:hAnsi="Arial" w:cs="Arial"/>
                <w:b/>
                <w:bCs/>
                <w:color w:val="000000"/>
                <w:sz w:val="16"/>
                <w:szCs w:val="16"/>
                <w:lang w:eastAsia="sv-SE"/>
              </w:rPr>
              <w:t>fg</w:t>
            </w:r>
            <w:proofErr w:type="spellEnd"/>
            <w:r w:rsidRPr="00E06BD3">
              <w:rPr>
                <w:rFonts w:ascii="Arial" w:eastAsia="Times New Roman" w:hAnsi="Arial" w:cs="Arial"/>
                <w:b/>
                <w:bCs/>
                <w:color w:val="000000"/>
                <w:sz w:val="16"/>
                <w:szCs w:val="16"/>
                <w:lang w:eastAsia="sv-SE"/>
              </w:rPr>
              <w:t xml:space="preserve"> år</w:t>
            </w:r>
          </w:p>
        </w:tc>
      </w:tr>
      <w:tr w:rsidR="00E06BD3" w:rsidRPr="00E06BD3" w14:paraId="75A684EE" w14:textId="77777777" w:rsidTr="00E06BD3">
        <w:trPr>
          <w:trHeight w:val="312"/>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01417968"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Intäkter</w:t>
            </w:r>
          </w:p>
        </w:tc>
        <w:tc>
          <w:tcPr>
            <w:tcW w:w="782" w:type="dxa"/>
            <w:tcBorders>
              <w:top w:val="nil"/>
              <w:left w:val="nil"/>
              <w:bottom w:val="single" w:sz="8" w:space="0" w:color="auto"/>
              <w:right w:val="single" w:sz="8" w:space="0" w:color="auto"/>
            </w:tcBorders>
            <w:shd w:val="clear" w:color="000000" w:fill="FFFFFF"/>
            <w:vAlign w:val="center"/>
            <w:hideMark/>
          </w:tcPr>
          <w:p w14:paraId="47DB2994"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744,8</w:t>
            </w:r>
          </w:p>
        </w:tc>
        <w:tc>
          <w:tcPr>
            <w:tcW w:w="850" w:type="dxa"/>
            <w:tcBorders>
              <w:top w:val="nil"/>
              <w:left w:val="nil"/>
              <w:bottom w:val="single" w:sz="8" w:space="0" w:color="auto"/>
              <w:right w:val="single" w:sz="8" w:space="0" w:color="auto"/>
            </w:tcBorders>
            <w:shd w:val="clear" w:color="000000" w:fill="FFFFFF"/>
            <w:vAlign w:val="center"/>
            <w:hideMark/>
          </w:tcPr>
          <w:p w14:paraId="3DD6DF58"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735,0</w:t>
            </w:r>
          </w:p>
        </w:tc>
        <w:tc>
          <w:tcPr>
            <w:tcW w:w="879" w:type="dxa"/>
            <w:tcBorders>
              <w:top w:val="nil"/>
              <w:left w:val="nil"/>
              <w:bottom w:val="single" w:sz="8" w:space="0" w:color="auto"/>
              <w:right w:val="single" w:sz="8" w:space="0" w:color="auto"/>
            </w:tcBorders>
            <w:shd w:val="clear" w:color="000000" w:fill="FFFFFF"/>
            <w:vAlign w:val="center"/>
            <w:hideMark/>
          </w:tcPr>
          <w:p w14:paraId="77430A5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9,8</w:t>
            </w:r>
          </w:p>
        </w:tc>
        <w:tc>
          <w:tcPr>
            <w:tcW w:w="683" w:type="dxa"/>
            <w:tcBorders>
              <w:top w:val="nil"/>
              <w:left w:val="nil"/>
              <w:bottom w:val="single" w:sz="8" w:space="0" w:color="auto"/>
              <w:right w:val="single" w:sz="8" w:space="0" w:color="auto"/>
            </w:tcBorders>
            <w:shd w:val="clear" w:color="000000" w:fill="FFFFFF"/>
            <w:vAlign w:val="center"/>
            <w:hideMark/>
          </w:tcPr>
          <w:p w14:paraId="61F05723"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719,8</w:t>
            </w:r>
          </w:p>
        </w:tc>
        <w:tc>
          <w:tcPr>
            <w:tcW w:w="850" w:type="dxa"/>
            <w:tcBorders>
              <w:top w:val="nil"/>
              <w:left w:val="nil"/>
              <w:bottom w:val="single" w:sz="8" w:space="0" w:color="auto"/>
              <w:right w:val="single" w:sz="8" w:space="0" w:color="auto"/>
            </w:tcBorders>
            <w:shd w:val="clear" w:color="000000" w:fill="FFFFFF"/>
            <w:vAlign w:val="center"/>
            <w:hideMark/>
          </w:tcPr>
          <w:p w14:paraId="5C4BC81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1 275,3</w:t>
            </w:r>
          </w:p>
        </w:tc>
        <w:tc>
          <w:tcPr>
            <w:tcW w:w="851" w:type="dxa"/>
            <w:tcBorders>
              <w:top w:val="nil"/>
              <w:left w:val="nil"/>
              <w:bottom w:val="single" w:sz="8" w:space="0" w:color="auto"/>
              <w:right w:val="single" w:sz="8" w:space="0" w:color="auto"/>
            </w:tcBorders>
            <w:shd w:val="clear" w:color="000000" w:fill="FFFFFF"/>
            <w:vAlign w:val="center"/>
            <w:hideMark/>
          </w:tcPr>
          <w:p w14:paraId="6247BCD2"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1 264,9</w:t>
            </w:r>
          </w:p>
        </w:tc>
        <w:tc>
          <w:tcPr>
            <w:tcW w:w="850" w:type="dxa"/>
            <w:tcBorders>
              <w:top w:val="nil"/>
              <w:left w:val="nil"/>
              <w:bottom w:val="single" w:sz="8" w:space="0" w:color="auto"/>
              <w:right w:val="single" w:sz="8" w:space="0" w:color="auto"/>
            </w:tcBorders>
            <w:shd w:val="clear" w:color="000000" w:fill="FFFFFF"/>
            <w:vAlign w:val="center"/>
            <w:hideMark/>
          </w:tcPr>
          <w:p w14:paraId="7523B368"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1 215,2</w:t>
            </w:r>
          </w:p>
        </w:tc>
      </w:tr>
      <w:tr w:rsidR="00E06BD3" w:rsidRPr="00E06BD3" w14:paraId="3B7D3586" w14:textId="77777777" w:rsidTr="00E06BD3">
        <w:trPr>
          <w:trHeight w:val="300"/>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10468AE3"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Kostnader</w:t>
            </w:r>
          </w:p>
        </w:tc>
        <w:tc>
          <w:tcPr>
            <w:tcW w:w="782" w:type="dxa"/>
            <w:tcBorders>
              <w:top w:val="nil"/>
              <w:left w:val="nil"/>
              <w:bottom w:val="single" w:sz="8" w:space="0" w:color="auto"/>
              <w:right w:val="single" w:sz="8" w:space="0" w:color="auto"/>
            </w:tcBorders>
            <w:shd w:val="clear" w:color="000000" w:fill="FFFFFF"/>
            <w:vAlign w:val="center"/>
            <w:hideMark/>
          </w:tcPr>
          <w:p w14:paraId="7D4AD3A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-794,0</w:t>
            </w:r>
          </w:p>
        </w:tc>
        <w:tc>
          <w:tcPr>
            <w:tcW w:w="850" w:type="dxa"/>
            <w:tcBorders>
              <w:top w:val="nil"/>
              <w:left w:val="nil"/>
              <w:bottom w:val="single" w:sz="8" w:space="0" w:color="auto"/>
              <w:right w:val="single" w:sz="8" w:space="0" w:color="auto"/>
            </w:tcBorders>
            <w:shd w:val="clear" w:color="000000" w:fill="FFFFFF"/>
            <w:vAlign w:val="center"/>
            <w:hideMark/>
          </w:tcPr>
          <w:p w14:paraId="3AA64F16"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-762,4</w:t>
            </w:r>
          </w:p>
        </w:tc>
        <w:tc>
          <w:tcPr>
            <w:tcW w:w="879" w:type="dxa"/>
            <w:tcBorders>
              <w:top w:val="nil"/>
              <w:left w:val="nil"/>
              <w:bottom w:val="single" w:sz="8" w:space="0" w:color="auto"/>
              <w:right w:val="single" w:sz="8" w:space="0" w:color="auto"/>
            </w:tcBorders>
            <w:shd w:val="clear" w:color="000000" w:fill="FFFFFF"/>
            <w:vAlign w:val="center"/>
            <w:hideMark/>
          </w:tcPr>
          <w:p w14:paraId="1934D96F"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-31,6</w:t>
            </w:r>
          </w:p>
        </w:tc>
        <w:tc>
          <w:tcPr>
            <w:tcW w:w="683" w:type="dxa"/>
            <w:tcBorders>
              <w:top w:val="nil"/>
              <w:left w:val="nil"/>
              <w:bottom w:val="single" w:sz="8" w:space="0" w:color="auto"/>
              <w:right w:val="single" w:sz="8" w:space="0" w:color="auto"/>
            </w:tcBorders>
            <w:shd w:val="clear" w:color="000000" w:fill="FFFFFF"/>
            <w:vAlign w:val="center"/>
            <w:hideMark/>
          </w:tcPr>
          <w:p w14:paraId="1B86340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-661,6</w:t>
            </w:r>
          </w:p>
        </w:tc>
        <w:tc>
          <w:tcPr>
            <w:tcW w:w="850" w:type="dxa"/>
            <w:tcBorders>
              <w:top w:val="nil"/>
              <w:left w:val="nil"/>
              <w:bottom w:val="single" w:sz="8" w:space="0" w:color="auto"/>
              <w:right w:val="single" w:sz="8" w:space="0" w:color="auto"/>
            </w:tcBorders>
            <w:shd w:val="clear" w:color="000000" w:fill="FFFFFF"/>
            <w:vAlign w:val="center"/>
            <w:hideMark/>
          </w:tcPr>
          <w:p w14:paraId="06865C3E"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-1 333,5</w:t>
            </w:r>
          </w:p>
        </w:tc>
        <w:tc>
          <w:tcPr>
            <w:tcW w:w="851" w:type="dxa"/>
            <w:tcBorders>
              <w:top w:val="nil"/>
              <w:left w:val="nil"/>
              <w:bottom w:val="single" w:sz="8" w:space="0" w:color="auto"/>
              <w:right w:val="single" w:sz="8" w:space="0" w:color="auto"/>
            </w:tcBorders>
            <w:shd w:val="clear" w:color="000000" w:fill="FFFFFF"/>
            <w:vAlign w:val="center"/>
            <w:hideMark/>
          </w:tcPr>
          <w:p w14:paraId="6B8D6161"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-1 301,0</w:t>
            </w:r>
          </w:p>
        </w:tc>
        <w:tc>
          <w:tcPr>
            <w:tcW w:w="850" w:type="dxa"/>
            <w:tcBorders>
              <w:top w:val="nil"/>
              <w:left w:val="nil"/>
              <w:bottom w:val="single" w:sz="8" w:space="0" w:color="auto"/>
              <w:right w:val="single" w:sz="8" w:space="0" w:color="auto"/>
            </w:tcBorders>
            <w:shd w:val="clear" w:color="000000" w:fill="FFFFFF"/>
            <w:vAlign w:val="center"/>
            <w:hideMark/>
          </w:tcPr>
          <w:p w14:paraId="29DDC28C"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-1 178,2</w:t>
            </w:r>
          </w:p>
        </w:tc>
      </w:tr>
      <w:tr w:rsidR="00E06BD3" w:rsidRPr="00E06BD3" w14:paraId="537CAA57" w14:textId="77777777" w:rsidTr="00E06BD3">
        <w:trPr>
          <w:trHeight w:val="420"/>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4D7B2627"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Resultat/förändring skuld till abonnent</w:t>
            </w:r>
          </w:p>
        </w:tc>
        <w:tc>
          <w:tcPr>
            <w:tcW w:w="782" w:type="dxa"/>
            <w:tcBorders>
              <w:top w:val="nil"/>
              <w:left w:val="nil"/>
              <w:bottom w:val="single" w:sz="8" w:space="0" w:color="auto"/>
              <w:right w:val="single" w:sz="8" w:space="0" w:color="auto"/>
            </w:tcBorders>
            <w:shd w:val="clear" w:color="000000" w:fill="FFFFFF"/>
            <w:vAlign w:val="center"/>
            <w:hideMark/>
          </w:tcPr>
          <w:p w14:paraId="08738328"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-49,2</w:t>
            </w:r>
          </w:p>
        </w:tc>
        <w:tc>
          <w:tcPr>
            <w:tcW w:w="850" w:type="dxa"/>
            <w:tcBorders>
              <w:top w:val="nil"/>
              <w:left w:val="nil"/>
              <w:bottom w:val="single" w:sz="8" w:space="0" w:color="auto"/>
              <w:right w:val="single" w:sz="8" w:space="0" w:color="auto"/>
            </w:tcBorders>
            <w:shd w:val="clear" w:color="000000" w:fill="FFFFFF"/>
            <w:vAlign w:val="center"/>
            <w:hideMark/>
          </w:tcPr>
          <w:p w14:paraId="527B58F7"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-27,4</w:t>
            </w:r>
          </w:p>
        </w:tc>
        <w:tc>
          <w:tcPr>
            <w:tcW w:w="879" w:type="dxa"/>
            <w:tcBorders>
              <w:top w:val="nil"/>
              <w:left w:val="nil"/>
              <w:bottom w:val="single" w:sz="8" w:space="0" w:color="auto"/>
              <w:right w:val="single" w:sz="8" w:space="0" w:color="auto"/>
            </w:tcBorders>
            <w:shd w:val="clear" w:color="000000" w:fill="FFFFFF"/>
            <w:vAlign w:val="center"/>
            <w:hideMark/>
          </w:tcPr>
          <w:p w14:paraId="6110E7DA"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-21,8</w:t>
            </w:r>
          </w:p>
        </w:tc>
        <w:tc>
          <w:tcPr>
            <w:tcW w:w="683" w:type="dxa"/>
            <w:tcBorders>
              <w:top w:val="nil"/>
              <w:left w:val="nil"/>
              <w:bottom w:val="single" w:sz="8" w:space="0" w:color="auto"/>
              <w:right w:val="single" w:sz="8" w:space="0" w:color="auto"/>
            </w:tcBorders>
            <w:shd w:val="clear" w:color="000000" w:fill="FFFFFF"/>
            <w:vAlign w:val="center"/>
            <w:hideMark/>
          </w:tcPr>
          <w:p w14:paraId="609B7427"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58,3</w:t>
            </w:r>
          </w:p>
        </w:tc>
        <w:tc>
          <w:tcPr>
            <w:tcW w:w="850" w:type="dxa"/>
            <w:tcBorders>
              <w:top w:val="nil"/>
              <w:left w:val="nil"/>
              <w:bottom w:val="single" w:sz="8" w:space="0" w:color="auto"/>
              <w:right w:val="single" w:sz="8" w:space="0" w:color="auto"/>
            </w:tcBorders>
            <w:shd w:val="clear" w:color="000000" w:fill="FFFFFF"/>
            <w:vAlign w:val="center"/>
            <w:hideMark/>
          </w:tcPr>
          <w:p w14:paraId="46C3F3D4"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-58,2</w:t>
            </w:r>
          </w:p>
        </w:tc>
        <w:tc>
          <w:tcPr>
            <w:tcW w:w="851" w:type="dxa"/>
            <w:tcBorders>
              <w:top w:val="nil"/>
              <w:left w:val="nil"/>
              <w:bottom w:val="single" w:sz="8" w:space="0" w:color="auto"/>
              <w:right w:val="single" w:sz="8" w:space="0" w:color="auto"/>
            </w:tcBorders>
            <w:shd w:val="clear" w:color="000000" w:fill="FFFFFF"/>
            <w:vAlign w:val="center"/>
            <w:hideMark/>
          </w:tcPr>
          <w:p w14:paraId="666DE8ED"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-36,2</w:t>
            </w:r>
          </w:p>
        </w:tc>
        <w:tc>
          <w:tcPr>
            <w:tcW w:w="850" w:type="dxa"/>
            <w:tcBorders>
              <w:top w:val="nil"/>
              <w:left w:val="nil"/>
              <w:bottom w:val="single" w:sz="8" w:space="0" w:color="auto"/>
              <w:right w:val="single" w:sz="8" w:space="0" w:color="auto"/>
            </w:tcBorders>
            <w:shd w:val="clear" w:color="000000" w:fill="FFFFFF"/>
            <w:vAlign w:val="center"/>
            <w:hideMark/>
          </w:tcPr>
          <w:p w14:paraId="218DAEEE"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37,0</w:t>
            </w:r>
          </w:p>
        </w:tc>
      </w:tr>
    </w:tbl>
    <w:p w14:paraId="4C5A1243" w14:textId="77777777" w:rsidR="00A03FE6" w:rsidRDefault="00A03FE6" w:rsidP="0065287C">
      <w:pPr>
        <w:rPr>
          <w:sz w:val="24"/>
          <w:szCs w:val="28"/>
        </w:rPr>
      </w:pPr>
    </w:p>
    <w:p w14:paraId="3BE40923" w14:textId="3BF1ECDA" w:rsidR="0065287C" w:rsidRPr="00C33D38" w:rsidRDefault="0065287C" w:rsidP="0065287C">
      <w:pPr>
        <w:rPr>
          <w:sz w:val="24"/>
          <w:szCs w:val="28"/>
        </w:rPr>
      </w:pPr>
      <w:r w:rsidRPr="00C33D38">
        <w:rPr>
          <w:sz w:val="24"/>
          <w:szCs w:val="28"/>
        </w:rPr>
        <w:t xml:space="preserve">VA-verksamhetens resultat uppgår för perioden </w:t>
      </w:r>
      <w:r w:rsidR="00D43008" w:rsidRPr="00C33D38">
        <w:rPr>
          <w:sz w:val="24"/>
          <w:szCs w:val="28"/>
        </w:rPr>
        <w:t>jan</w:t>
      </w:r>
      <w:r w:rsidR="006A109B" w:rsidRPr="00C33D38">
        <w:rPr>
          <w:sz w:val="24"/>
          <w:szCs w:val="28"/>
        </w:rPr>
        <w:t>uari</w:t>
      </w:r>
      <w:r w:rsidR="00D43008" w:rsidRPr="00C33D38">
        <w:rPr>
          <w:sz w:val="24"/>
          <w:szCs w:val="28"/>
        </w:rPr>
        <w:t>-</w:t>
      </w:r>
      <w:r w:rsidR="00AA2512" w:rsidRPr="00C33D38">
        <w:rPr>
          <w:sz w:val="24"/>
          <w:szCs w:val="28"/>
        </w:rPr>
        <w:t>juli</w:t>
      </w:r>
      <w:r w:rsidR="00D43008" w:rsidRPr="00C33D38">
        <w:rPr>
          <w:sz w:val="24"/>
          <w:szCs w:val="28"/>
        </w:rPr>
        <w:t xml:space="preserve"> </w:t>
      </w:r>
      <w:r w:rsidRPr="00C33D38">
        <w:rPr>
          <w:sz w:val="24"/>
          <w:szCs w:val="28"/>
        </w:rPr>
        <w:t xml:space="preserve">till </w:t>
      </w:r>
      <w:r w:rsidR="00C33D38" w:rsidRPr="00C33D38">
        <w:rPr>
          <w:sz w:val="24"/>
          <w:szCs w:val="28"/>
        </w:rPr>
        <w:t>– 49,2</w:t>
      </w:r>
      <w:r w:rsidRPr="00C33D38">
        <w:rPr>
          <w:sz w:val="24"/>
          <w:szCs w:val="28"/>
        </w:rPr>
        <w:t xml:space="preserve"> m</w:t>
      </w:r>
      <w:r w:rsidR="00A03FE6" w:rsidRPr="00C33D38">
        <w:rPr>
          <w:sz w:val="24"/>
          <w:szCs w:val="28"/>
        </w:rPr>
        <w:t>n</w:t>
      </w:r>
      <w:r w:rsidRPr="00C33D38">
        <w:rPr>
          <w:sz w:val="24"/>
          <w:szCs w:val="28"/>
        </w:rPr>
        <w:t xml:space="preserve">kr, vilket är </w:t>
      </w:r>
      <w:r w:rsidR="00C33D38" w:rsidRPr="00C33D38">
        <w:rPr>
          <w:sz w:val="24"/>
          <w:szCs w:val="28"/>
        </w:rPr>
        <w:t>21,8</w:t>
      </w:r>
      <w:r w:rsidRPr="00C33D38">
        <w:rPr>
          <w:sz w:val="24"/>
          <w:szCs w:val="28"/>
        </w:rPr>
        <w:t xml:space="preserve"> m</w:t>
      </w:r>
      <w:r w:rsidR="00A03FE6" w:rsidRPr="00C33D38">
        <w:rPr>
          <w:sz w:val="24"/>
          <w:szCs w:val="28"/>
        </w:rPr>
        <w:t>n</w:t>
      </w:r>
      <w:r w:rsidRPr="00C33D38">
        <w:rPr>
          <w:sz w:val="24"/>
          <w:szCs w:val="28"/>
        </w:rPr>
        <w:t xml:space="preserve">kr </w:t>
      </w:r>
      <w:r w:rsidR="00A03FE6" w:rsidRPr="00C33D38">
        <w:rPr>
          <w:sz w:val="24"/>
          <w:szCs w:val="28"/>
        </w:rPr>
        <w:t>sämre</w:t>
      </w:r>
      <w:r w:rsidRPr="00C33D38">
        <w:rPr>
          <w:sz w:val="24"/>
          <w:szCs w:val="28"/>
        </w:rPr>
        <w:t xml:space="preserve"> än budget. </w:t>
      </w:r>
      <w:r w:rsidR="00A03FE6" w:rsidRPr="00C33D38">
        <w:rPr>
          <w:sz w:val="24"/>
          <w:szCs w:val="28"/>
        </w:rPr>
        <w:t xml:space="preserve">Underskottet för perioden präglas </w:t>
      </w:r>
      <w:r w:rsidR="00C33D38" w:rsidRPr="00C33D38">
        <w:rPr>
          <w:sz w:val="24"/>
          <w:szCs w:val="28"/>
        </w:rPr>
        <w:t xml:space="preserve">fortsatt </w:t>
      </w:r>
      <w:r w:rsidR="00A03FE6" w:rsidRPr="00C33D38">
        <w:rPr>
          <w:sz w:val="24"/>
          <w:szCs w:val="28"/>
        </w:rPr>
        <w:t xml:space="preserve">av engångskostnader i form av rivning samt utrangering av Kodammarnas gamla pumpstation. </w:t>
      </w:r>
      <w:r w:rsidR="00C33D38" w:rsidRPr="00C33D38">
        <w:rPr>
          <w:sz w:val="24"/>
          <w:szCs w:val="28"/>
        </w:rPr>
        <w:t>Kraftigt ö</w:t>
      </w:r>
      <w:r w:rsidR="00A03FE6" w:rsidRPr="00C33D38">
        <w:rPr>
          <w:sz w:val="24"/>
          <w:szCs w:val="28"/>
        </w:rPr>
        <w:t>kade räntekostnader samt kemikaliekostnader präglar också underskottet för perioden</w:t>
      </w:r>
      <w:r w:rsidR="00243B2A" w:rsidRPr="00C33D38">
        <w:rPr>
          <w:sz w:val="24"/>
          <w:szCs w:val="28"/>
        </w:rPr>
        <w:t>.</w:t>
      </w:r>
    </w:p>
    <w:p w14:paraId="363F63B3" w14:textId="61E84C55" w:rsidR="0065287C" w:rsidRPr="00C33D38" w:rsidRDefault="0065287C" w:rsidP="0065287C">
      <w:pPr>
        <w:rPr>
          <w:sz w:val="24"/>
          <w:szCs w:val="28"/>
        </w:rPr>
      </w:pPr>
      <w:r w:rsidRPr="00C33D38">
        <w:rPr>
          <w:sz w:val="24"/>
          <w:szCs w:val="28"/>
        </w:rPr>
        <w:t xml:space="preserve">VA-verksamhetens </w:t>
      </w:r>
      <w:r w:rsidR="00AC43D5" w:rsidRPr="00C33D38">
        <w:rPr>
          <w:sz w:val="24"/>
          <w:szCs w:val="28"/>
        </w:rPr>
        <w:t xml:space="preserve">lämnar för </w:t>
      </w:r>
      <w:r w:rsidR="00AA2512" w:rsidRPr="00C33D38">
        <w:rPr>
          <w:sz w:val="24"/>
          <w:szCs w:val="28"/>
        </w:rPr>
        <w:t>juli</w:t>
      </w:r>
      <w:r w:rsidR="00AC43D5" w:rsidRPr="00C33D38">
        <w:rPr>
          <w:sz w:val="24"/>
          <w:szCs w:val="28"/>
        </w:rPr>
        <w:t xml:space="preserve"> en oförändrad prognos, det vill säga ett resultat om </w:t>
      </w:r>
      <w:r w:rsidR="00662D99" w:rsidRPr="00C33D38">
        <w:rPr>
          <w:sz w:val="24"/>
          <w:szCs w:val="28"/>
        </w:rPr>
        <w:t>– </w:t>
      </w:r>
      <w:r w:rsidR="00C33D38" w:rsidRPr="00C33D38">
        <w:rPr>
          <w:sz w:val="24"/>
          <w:szCs w:val="28"/>
        </w:rPr>
        <w:t>58,2</w:t>
      </w:r>
      <w:r w:rsidRPr="00C33D38">
        <w:rPr>
          <w:sz w:val="24"/>
          <w:szCs w:val="28"/>
        </w:rPr>
        <w:t xml:space="preserve"> mkr</w:t>
      </w:r>
      <w:r w:rsidR="00AC43D5" w:rsidRPr="00C33D38">
        <w:rPr>
          <w:sz w:val="24"/>
          <w:szCs w:val="28"/>
        </w:rPr>
        <w:t>,</w:t>
      </w:r>
      <w:r w:rsidRPr="00C33D38">
        <w:rPr>
          <w:sz w:val="24"/>
          <w:szCs w:val="28"/>
        </w:rPr>
        <w:t xml:space="preserve"> </w:t>
      </w:r>
      <w:r w:rsidR="00AC43D5" w:rsidRPr="00C33D38">
        <w:rPr>
          <w:sz w:val="24"/>
          <w:szCs w:val="28"/>
        </w:rPr>
        <w:t>vilket innebär en avvikelse mot budget på</w:t>
      </w:r>
      <w:r w:rsidRPr="00C33D38">
        <w:rPr>
          <w:sz w:val="24"/>
          <w:szCs w:val="28"/>
        </w:rPr>
        <w:t xml:space="preserve"> </w:t>
      </w:r>
      <w:r w:rsidR="00A03FE6" w:rsidRPr="00C33D38">
        <w:rPr>
          <w:sz w:val="24"/>
          <w:szCs w:val="28"/>
        </w:rPr>
        <w:t>– 22</w:t>
      </w:r>
      <w:r w:rsidRPr="00C33D38">
        <w:rPr>
          <w:sz w:val="24"/>
          <w:szCs w:val="28"/>
        </w:rPr>
        <w:t xml:space="preserve"> mkr.</w:t>
      </w:r>
    </w:p>
    <w:p w14:paraId="38E097A7" w14:textId="429987E8" w:rsidR="0065287C" w:rsidRPr="00AC43D5" w:rsidRDefault="0065287C" w:rsidP="0065287C">
      <w:pPr>
        <w:rPr>
          <w:sz w:val="24"/>
          <w:szCs w:val="28"/>
        </w:rPr>
      </w:pPr>
      <w:r w:rsidRPr="00C33D38">
        <w:rPr>
          <w:sz w:val="24"/>
          <w:szCs w:val="28"/>
        </w:rPr>
        <w:t>Förklaring</w:t>
      </w:r>
      <w:r w:rsidR="00A03FE6" w:rsidRPr="00C33D38">
        <w:rPr>
          <w:sz w:val="24"/>
          <w:szCs w:val="28"/>
        </w:rPr>
        <w:t xml:space="preserve">en är framför allt kraftigt ökade räntekostnader samt kemikaliekostnader. </w:t>
      </w:r>
      <w:r w:rsidR="00AC43D5" w:rsidRPr="00C33D38">
        <w:rPr>
          <w:sz w:val="24"/>
          <w:szCs w:val="28"/>
        </w:rPr>
        <w:t xml:space="preserve">Förvaltningen avser återkomma med en förnyad prognos i samband med </w:t>
      </w:r>
      <w:proofErr w:type="gramStart"/>
      <w:r w:rsidR="00AA2512" w:rsidRPr="00C33D38">
        <w:rPr>
          <w:sz w:val="24"/>
          <w:szCs w:val="28"/>
        </w:rPr>
        <w:t>delårsrapport augusti</w:t>
      </w:r>
      <w:proofErr w:type="gramEnd"/>
      <w:r w:rsidR="00AC43D5" w:rsidRPr="00C33D38">
        <w:rPr>
          <w:sz w:val="24"/>
          <w:szCs w:val="28"/>
        </w:rPr>
        <w:t>.</w:t>
      </w:r>
    </w:p>
    <w:p w14:paraId="6ABA9CD6" w14:textId="2998373B" w:rsidR="0065287C" w:rsidRDefault="0065287C" w:rsidP="0065287C">
      <w:pPr>
        <w:pStyle w:val="Rubrik3"/>
      </w:pPr>
      <w:r>
        <w:t>Avfallsverksamheten</w:t>
      </w:r>
    </w:p>
    <w:p w14:paraId="18E6E833" w14:textId="5A2FC790" w:rsidR="00D43008" w:rsidRDefault="00D43008" w:rsidP="0065287C">
      <w:pPr>
        <w:rPr>
          <w:sz w:val="24"/>
          <w:szCs w:val="28"/>
        </w:rPr>
      </w:pPr>
    </w:p>
    <w:tbl>
      <w:tblPr>
        <w:tblW w:w="7361" w:type="dxa"/>
        <w:tblCellMar>
          <w:left w:w="70" w:type="dxa"/>
          <w:right w:w="70" w:type="dxa"/>
        </w:tblCellMar>
        <w:tblLook w:val="04A0" w:firstRow="1" w:lastRow="0" w:firstColumn="1" w:lastColumn="0" w:noHBand="0" w:noVBand="1"/>
      </w:tblPr>
      <w:tblGrid>
        <w:gridCol w:w="1616"/>
        <w:gridCol w:w="775"/>
        <w:gridCol w:w="982"/>
        <w:gridCol w:w="879"/>
        <w:gridCol w:w="680"/>
        <w:gridCol w:w="789"/>
        <w:gridCol w:w="790"/>
        <w:gridCol w:w="850"/>
      </w:tblGrid>
      <w:tr w:rsidR="00E06BD3" w:rsidRPr="00E06BD3" w14:paraId="43E23024" w14:textId="77777777" w:rsidTr="00E06BD3">
        <w:trPr>
          <w:trHeight w:val="480"/>
        </w:trPr>
        <w:tc>
          <w:tcPr>
            <w:tcW w:w="1616" w:type="dxa"/>
            <w:tcBorders>
              <w:top w:val="single" w:sz="8" w:space="0" w:color="auto"/>
              <w:left w:val="single" w:sz="8" w:space="0" w:color="auto"/>
              <w:bottom w:val="single" w:sz="12" w:space="0" w:color="auto"/>
              <w:right w:val="single" w:sz="8" w:space="0" w:color="auto"/>
            </w:tcBorders>
            <w:shd w:val="clear" w:color="000000" w:fill="E5E5E5"/>
            <w:vAlign w:val="center"/>
            <w:hideMark/>
          </w:tcPr>
          <w:p w14:paraId="181CC6F1"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mnkr</w:t>
            </w:r>
          </w:p>
        </w:tc>
        <w:tc>
          <w:tcPr>
            <w:tcW w:w="775" w:type="dxa"/>
            <w:tcBorders>
              <w:top w:val="single" w:sz="8" w:space="0" w:color="auto"/>
              <w:left w:val="nil"/>
              <w:bottom w:val="single" w:sz="12" w:space="0" w:color="auto"/>
              <w:right w:val="single" w:sz="8" w:space="0" w:color="auto"/>
            </w:tcBorders>
            <w:shd w:val="clear" w:color="000000" w:fill="E5E5E5"/>
            <w:vAlign w:val="center"/>
            <w:hideMark/>
          </w:tcPr>
          <w:p w14:paraId="2308D73B"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Utfall jan-juli</w:t>
            </w:r>
          </w:p>
        </w:tc>
        <w:tc>
          <w:tcPr>
            <w:tcW w:w="982" w:type="dxa"/>
            <w:tcBorders>
              <w:top w:val="single" w:sz="8" w:space="0" w:color="auto"/>
              <w:left w:val="nil"/>
              <w:bottom w:val="single" w:sz="12" w:space="0" w:color="auto"/>
              <w:right w:val="single" w:sz="8" w:space="0" w:color="auto"/>
            </w:tcBorders>
            <w:shd w:val="clear" w:color="000000" w:fill="E5E5E5"/>
            <w:vAlign w:val="center"/>
            <w:hideMark/>
          </w:tcPr>
          <w:p w14:paraId="2535B772"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Budget jan-juli</w:t>
            </w:r>
          </w:p>
        </w:tc>
        <w:tc>
          <w:tcPr>
            <w:tcW w:w="879" w:type="dxa"/>
            <w:tcBorders>
              <w:top w:val="single" w:sz="8" w:space="0" w:color="auto"/>
              <w:left w:val="nil"/>
              <w:bottom w:val="single" w:sz="12" w:space="0" w:color="auto"/>
              <w:right w:val="single" w:sz="8" w:space="0" w:color="auto"/>
            </w:tcBorders>
            <w:shd w:val="clear" w:color="000000" w:fill="E5E5E5"/>
            <w:vAlign w:val="center"/>
            <w:hideMark/>
          </w:tcPr>
          <w:p w14:paraId="18CB4F0F"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Avvikelse</w:t>
            </w:r>
          </w:p>
        </w:tc>
        <w:tc>
          <w:tcPr>
            <w:tcW w:w="680" w:type="dxa"/>
            <w:tcBorders>
              <w:top w:val="single" w:sz="8" w:space="0" w:color="auto"/>
              <w:left w:val="nil"/>
              <w:bottom w:val="single" w:sz="12" w:space="0" w:color="auto"/>
              <w:right w:val="single" w:sz="8" w:space="0" w:color="auto"/>
            </w:tcBorders>
            <w:shd w:val="clear" w:color="000000" w:fill="E5E5E5"/>
            <w:vAlign w:val="center"/>
            <w:hideMark/>
          </w:tcPr>
          <w:p w14:paraId="4AA4A03B"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 xml:space="preserve">Utfall </w:t>
            </w:r>
            <w:proofErr w:type="spellStart"/>
            <w:r w:rsidRPr="00E06BD3">
              <w:rPr>
                <w:rFonts w:ascii="Arial" w:eastAsia="Times New Roman" w:hAnsi="Arial" w:cs="Arial"/>
                <w:b/>
                <w:bCs/>
                <w:color w:val="000000"/>
                <w:sz w:val="16"/>
                <w:szCs w:val="16"/>
                <w:lang w:eastAsia="sv-SE"/>
              </w:rPr>
              <w:t>fg</w:t>
            </w:r>
            <w:proofErr w:type="spellEnd"/>
            <w:r w:rsidRPr="00E06BD3">
              <w:rPr>
                <w:rFonts w:ascii="Arial" w:eastAsia="Times New Roman" w:hAnsi="Arial" w:cs="Arial"/>
                <w:b/>
                <w:bCs/>
                <w:color w:val="000000"/>
                <w:sz w:val="16"/>
                <w:szCs w:val="16"/>
                <w:lang w:eastAsia="sv-SE"/>
              </w:rPr>
              <w:t xml:space="preserve"> år</w:t>
            </w:r>
          </w:p>
        </w:tc>
        <w:tc>
          <w:tcPr>
            <w:tcW w:w="789" w:type="dxa"/>
            <w:tcBorders>
              <w:top w:val="single" w:sz="8" w:space="0" w:color="auto"/>
              <w:left w:val="nil"/>
              <w:bottom w:val="single" w:sz="12" w:space="0" w:color="auto"/>
              <w:right w:val="single" w:sz="8" w:space="0" w:color="auto"/>
            </w:tcBorders>
            <w:shd w:val="clear" w:color="000000" w:fill="B4B4B4"/>
            <w:vAlign w:val="center"/>
            <w:hideMark/>
          </w:tcPr>
          <w:p w14:paraId="28A3D09A"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Prognos helår</w:t>
            </w:r>
          </w:p>
        </w:tc>
        <w:tc>
          <w:tcPr>
            <w:tcW w:w="790" w:type="dxa"/>
            <w:tcBorders>
              <w:top w:val="single" w:sz="8" w:space="0" w:color="auto"/>
              <w:left w:val="nil"/>
              <w:bottom w:val="single" w:sz="12" w:space="0" w:color="auto"/>
              <w:right w:val="single" w:sz="8" w:space="0" w:color="auto"/>
            </w:tcBorders>
            <w:shd w:val="clear" w:color="000000" w:fill="B4B4B4"/>
            <w:vAlign w:val="center"/>
            <w:hideMark/>
          </w:tcPr>
          <w:p w14:paraId="2F865D44"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Budget helår</w:t>
            </w:r>
          </w:p>
        </w:tc>
        <w:tc>
          <w:tcPr>
            <w:tcW w:w="850" w:type="dxa"/>
            <w:tcBorders>
              <w:top w:val="single" w:sz="8" w:space="0" w:color="auto"/>
              <w:left w:val="nil"/>
              <w:bottom w:val="single" w:sz="12" w:space="0" w:color="auto"/>
              <w:right w:val="single" w:sz="8" w:space="0" w:color="auto"/>
            </w:tcBorders>
            <w:shd w:val="clear" w:color="000000" w:fill="B4B4B4"/>
            <w:vAlign w:val="center"/>
            <w:hideMark/>
          </w:tcPr>
          <w:p w14:paraId="50B4D1D1"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 xml:space="preserve">Bokslut </w:t>
            </w:r>
            <w:proofErr w:type="spellStart"/>
            <w:r w:rsidRPr="00E06BD3">
              <w:rPr>
                <w:rFonts w:ascii="Arial" w:eastAsia="Times New Roman" w:hAnsi="Arial" w:cs="Arial"/>
                <w:b/>
                <w:bCs/>
                <w:color w:val="000000"/>
                <w:sz w:val="16"/>
                <w:szCs w:val="16"/>
                <w:lang w:eastAsia="sv-SE"/>
              </w:rPr>
              <w:t>fg</w:t>
            </w:r>
            <w:proofErr w:type="spellEnd"/>
            <w:r w:rsidRPr="00E06BD3">
              <w:rPr>
                <w:rFonts w:ascii="Arial" w:eastAsia="Times New Roman" w:hAnsi="Arial" w:cs="Arial"/>
                <w:b/>
                <w:bCs/>
                <w:color w:val="000000"/>
                <w:sz w:val="16"/>
                <w:szCs w:val="16"/>
                <w:lang w:eastAsia="sv-SE"/>
              </w:rPr>
              <w:t xml:space="preserve"> år</w:t>
            </w:r>
          </w:p>
        </w:tc>
      </w:tr>
      <w:tr w:rsidR="00E06BD3" w:rsidRPr="00E06BD3" w14:paraId="17732848" w14:textId="77777777" w:rsidTr="00E06BD3">
        <w:trPr>
          <w:trHeight w:val="312"/>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575DC086"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Intäkter</w:t>
            </w:r>
          </w:p>
        </w:tc>
        <w:tc>
          <w:tcPr>
            <w:tcW w:w="775" w:type="dxa"/>
            <w:tcBorders>
              <w:top w:val="nil"/>
              <w:left w:val="nil"/>
              <w:bottom w:val="single" w:sz="8" w:space="0" w:color="auto"/>
              <w:right w:val="single" w:sz="8" w:space="0" w:color="auto"/>
            </w:tcBorders>
            <w:shd w:val="clear" w:color="000000" w:fill="FFFFFF"/>
            <w:vAlign w:val="center"/>
            <w:hideMark/>
          </w:tcPr>
          <w:p w14:paraId="42AFC0A7"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351,8</w:t>
            </w:r>
          </w:p>
        </w:tc>
        <w:tc>
          <w:tcPr>
            <w:tcW w:w="982" w:type="dxa"/>
            <w:tcBorders>
              <w:top w:val="nil"/>
              <w:left w:val="nil"/>
              <w:bottom w:val="single" w:sz="8" w:space="0" w:color="auto"/>
              <w:right w:val="single" w:sz="8" w:space="0" w:color="auto"/>
            </w:tcBorders>
            <w:shd w:val="clear" w:color="000000" w:fill="FFFFFF"/>
            <w:vAlign w:val="center"/>
            <w:hideMark/>
          </w:tcPr>
          <w:p w14:paraId="6B7E96B0"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354,2</w:t>
            </w:r>
          </w:p>
        </w:tc>
        <w:tc>
          <w:tcPr>
            <w:tcW w:w="879" w:type="dxa"/>
            <w:tcBorders>
              <w:top w:val="nil"/>
              <w:left w:val="nil"/>
              <w:bottom w:val="single" w:sz="8" w:space="0" w:color="auto"/>
              <w:right w:val="single" w:sz="8" w:space="0" w:color="auto"/>
            </w:tcBorders>
            <w:shd w:val="clear" w:color="000000" w:fill="FFFFFF"/>
            <w:vAlign w:val="center"/>
            <w:hideMark/>
          </w:tcPr>
          <w:p w14:paraId="7267DDD6"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-2,4</w:t>
            </w:r>
          </w:p>
        </w:tc>
        <w:tc>
          <w:tcPr>
            <w:tcW w:w="680" w:type="dxa"/>
            <w:tcBorders>
              <w:top w:val="nil"/>
              <w:left w:val="nil"/>
              <w:bottom w:val="single" w:sz="8" w:space="0" w:color="auto"/>
              <w:right w:val="single" w:sz="8" w:space="0" w:color="auto"/>
            </w:tcBorders>
            <w:shd w:val="clear" w:color="000000" w:fill="FFFFFF"/>
            <w:vAlign w:val="center"/>
            <w:hideMark/>
          </w:tcPr>
          <w:p w14:paraId="15B65D58"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317,0</w:t>
            </w:r>
          </w:p>
        </w:tc>
        <w:tc>
          <w:tcPr>
            <w:tcW w:w="789" w:type="dxa"/>
            <w:tcBorders>
              <w:top w:val="nil"/>
              <w:left w:val="nil"/>
              <w:bottom w:val="single" w:sz="8" w:space="0" w:color="auto"/>
              <w:right w:val="single" w:sz="8" w:space="0" w:color="auto"/>
            </w:tcBorders>
            <w:shd w:val="clear" w:color="000000" w:fill="FFFFFF"/>
            <w:vAlign w:val="center"/>
            <w:hideMark/>
          </w:tcPr>
          <w:p w14:paraId="1027C387"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606,4</w:t>
            </w:r>
          </w:p>
        </w:tc>
        <w:tc>
          <w:tcPr>
            <w:tcW w:w="790" w:type="dxa"/>
            <w:tcBorders>
              <w:top w:val="nil"/>
              <w:left w:val="nil"/>
              <w:bottom w:val="single" w:sz="8" w:space="0" w:color="auto"/>
              <w:right w:val="single" w:sz="8" w:space="0" w:color="auto"/>
            </w:tcBorders>
            <w:shd w:val="clear" w:color="000000" w:fill="FFFFFF"/>
            <w:vAlign w:val="center"/>
            <w:hideMark/>
          </w:tcPr>
          <w:p w14:paraId="6084BB40"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609,7</w:t>
            </w:r>
          </w:p>
        </w:tc>
        <w:tc>
          <w:tcPr>
            <w:tcW w:w="850" w:type="dxa"/>
            <w:tcBorders>
              <w:top w:val="nil"/>
              <w:left w:val="nil"/>
              <w:bottom w:val="single" w:sz="8" w:space="0" w:color="auto"/>
              <w:right w:val="single" w:sz="8" w:space="0" w:color="auto"/>
            </w:tcBorders>
            <w:shd w:val="clear" w:color="000000" w:fill="FFFFFF"/>
            <w:vAlign w:val="center"/>
            <w:hideMark/>
          </w:tcPr>
          <w:p w14:paraId="5F1082B4"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549,2</w:t>
            </w:r>
          </w:p>
        </w:tc>
      </w:tr>
      <w:tr w:rsidR="00E06BD3" w:rsidRPr="00E06BD3" w14:paraId="01BCCF6C" w14:textId="77777777" w:rsidTr="00E06BD3">
        <w:trPr>
          <w:trHeight w:val="300"/>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37DD136B" w14:textId="77777777" w:rsidR="00E06BD3" w:rsidRPr="00E06BD3" w:rsidRDefault="00E06BD3" w:rsidP="00E06BD3">
            <w:pPr>
              <w:spacing w:after="0" w:line="240" w:lineRule="auto"/>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Kostnader</w:t>
            </w:r>
          </w:p>
        </w:tc>
        <w:tc>
          <w:tcPr>
            <w:tcW w:w="775" w:type="dxa"/>
            <w:tcBorders>
              <w:top w:val="nil"/>
              <w:left w:val="nil"/>
              <w:bottom w:val="single" w:sz="8" w:space="0" w:color="auto"/>
              <w:right w:val="single" w:sz="8" w:space="0" w:color="auto"/>
            </w:tcBorders>
            <w:shd w:val="clear" w:color="000000" w:fill="FFFFFF"/>
            <w:vAlign w:val="center"/>
            <w:hideMark/>
          </w:tcPr>
          <w:p w14:paraId="373ED1BA"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-355,4</w:t>
            </w:r>
          </w:p>
        </w:tc>
        <w:tc>
          <w:tcPr>
            <w:tcW w:w="982" w:type="dxa"/>
            <w:tcBorders>
              <w:top w:val="nil"/>
              <w:left w:val="nil"/>
              <w:bottom w:val="single" w:sz="8" w:space="0" w:color="auto"/>
              <w:right w:val="single" w:sz="8" w:space="0" w:color="auto"/>
            </w:tcBorders>
            <w:shd w:val="clear" w:color="000000" w:fill="FFFFFF"/>
            <w:vAlign w:val="center"/>
            <w:hideMark/>
          </w:tcPr>
          <w:p w14:paraId="0000AEF5"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-360,0</w:t>
            </w:r>
          </w:p>
        </w:tc>
        <w:tc>
          <w:tcPr>
            <w:tcW w:w="879" w:type="dxa"/>
            <w:tcBorders>
              <w:top w:val="nil"/>
              <w:left w:val="nil"/>
              <w:bottom w:val="single" w:sz="8" w:space="0" w:color="auto"/>
              <w:right w:val="single" w:sz="8" w:space="0" w:color="auto"/>
            </w:tcBorders>
            <w:shd w:val="clear" w:color="000000" w:fill="FFFFFF"/>
            <w:vAlign w:val="center"/>
            <w:hideMark/>
          </w:tcPr>
          <w:p w14:paraId="35448D13"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4,6</w:t>
            </w:r>
          </w:p>
        </w:tc>
        <w:tc>
          <w:tcPr>
            <w:tcW w:w="680" w:type="dxa"/>
            <w:tcBorders>
              <w:top w:val="nil"/>
              <w:left w:val="nil"/>
              <w:bottom w:val="single" w:sz="8" w:space="0" w:color="auto"/>
              <w:right w:val="single" w:sz="8" w:space="0" w:color="auto"/>
            </w:tcBorders>
            <w:shd w:val="clear" w:color="000000" w:fill="FFFFFF"/>
            <w:vAlign w:val="center"/>
            <w:hideMark/>
          </w:tcPr>
          <w:p w14:paraId="21E4E1DB"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-326,1</w:t>
            </w:r>
          </w:p>
        </w:tc>
        <w:tc>
          <w:tcPr>
            <w:tcW w:w="789" w:type="dxa"/>
            <w:tcBorders>
              <w:top w:val="nil"/>
              <w:left w:val="nil"/>
              <w:bottom w:val="single" w:sz="8" w:space="0" w:color="auto"/>
              <w:right w:val="single" w:sz="8" w:space="0" w:color="auto"/>
            </w:tcBorders>
            <w:shd w:val="clear" w:color="000000" w:fill="FFFFFF"/>
            <w:vAlign w:val="center"/>
            <w:hideMark/>
          </w:tcPr>
          <w:p w14:paraId="64B9488D"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-618,6</w:t>
            </w:r>
          </w:p>
        </w:tc>
        <w:tc>
          <w:tcPr>
            <w:tcW w:w="790" w:type="dxa"/>
            <w:tcBorders>
              <w:top w:val="nil"/>
              <w:left w:val="nil"/>
              <w:bottom w:val="single" w:sz="8" w:space="0" w:color="auto"/>
              <w:right w:val="single" w:sz="8" w:space="0" w:color="auto"/>
            </w:tcBorders>
            <w:shd w:val="clear" w:color="000000" w:fill="FFFFFF"/>
            <w:vAlign w:val="center"/>
            <w:hideMark/>
          </w:tcPr>
          <w:p w14:paraId="332139B1"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-620,3</w:t>
            </w:r>
          </w:p>
        </w:tc>
        <w:tc>
          <w:tcPr>
            <w:tcW w:w="850" w:type="dxa"/>
            <w:tcBorders>
              <w:top w:val="nil"/>
              <w:left w:val="nil"/>
              <w:bottom w:val="single" w:sz="8" w:space="0" w:color="auto"/>
              <w:right w:val="single" w:sz="8" w:space="0" w:color="auto"/>
            </w:tcBorders>
            <w:shd w:val="clear" w:color="000000" w:fill="FFFFFF"/>
            <w:vAlign w:val="center"/>
            <w:hideMark/>
          </w:tcPr>
          <w:p w14:paraId="1CAF076E" w14:textId="77777777" w:rsidR="00E06BD3" w:rsidRPr="00E06BD3" w:rsidRDefault="00E06BD3" w:rsidP="00E06BD3">
            <w:pPr>
              <w:spacing w:after="0" w:line="240" w:lineRule="auto"/>
              <w:jc w:val="right"/>
              <w:rPr>
                <w:rFonts w:ascii="Arial" w:eastAsia="Times New Roman" w:hAnsi="Arial" w:cs="Arial"/>
                <w:color w:val="000000"/>
                <w:sz w:val="16"/>
                <w:szCs w:val="16"/>
                <w:lang w:eastAsia="sv-SE"/>
              </w:rPr>
            </w:pPr>
            <w:r w:rsidRPr="00E06BD3">
              <w:rPr>
                <w:rFonts w:ascii="Arial" w:eastAsia="Times New Roman" w:hAnsi="Arial" w:cs="Arial"/>
                <w:color w:val="000000"/>
                <w:sz w:val="16"/>
                <w:szCs w:val="16"/>
                <w:lang w:eastAsia="sv-SE"/>
              </w:rPr>
              <w:t>-570,0</w:t>
            </w:r>
          </w:p>
        </w:tc>
      </w:tr>
      <w:tr w:rsidR="00E06BD3" w:rsidRPr="00E06BD3" w14:paraId="777834E0" w14:textId="77777777" w:rsidTr="00E06BD3">
        <w:trPr>
          <w:trHeight w:val="420"/>
        </w:trPr>
        <w:tc>
          <w:tcPr>
            <w:tcW w:w="1616" w:type="dxa"/>
            <w:tcBorders>
              <w:top w:val="nil"/>
              <w:left w:val="single" w:sz="8" w:space="0" w:color="auto"/>
              <w:bottom w:val="single" w:sz="8" w:space="0" w:color="auto"/>
              <w:right w:val="single" w:sz="8" w:space="0" w:color="auto"/>
            </w:tcBorders>
            <w:shd w:val="clear" w:color="000000" w:fill="FFFFFF"/>
            <w:vAlign w:val="center"/>
            <w:hideMark/>
          </w:tcPr>
          <w:p w14:paraId="436E0826" w14:textId="77777777" w:rsidR="00E06BD3" w:rsidRPr="00E06BD3" w:rsidRDefault="00E06BD3" w:rsidP="00E06BD3">
            <w:pPr>
              <w:spacing w:after="0" w:line="240" w:lineRule="auto"/>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Resultat/förändring skuld till abonnent</w:t>
            </w:r>
          </w:p>
        </w:tc>
        <w:tc>
          <w:tcPr>
            <w:tcW w:w="775" w:type="dxa"/>
            <w:tcBorders>
              <w:top w:val="nil"/>
              <w:left w:val="nil"/>
              <w:bottom w:val="single" w:sz="8" w:space="0" w:color="auto"/>
              <w:right w:val="single" w:sz="8" w:space="0" w:color="auto"/>
            </w:tcBorders>
            <w:shd w:val="clear" w:color="000000" w:fill="FFFFFF"/>
            <w:vAlign w:val="center"/>
            <w:hideMark/>
          </w:tcPr>
          <w:p w14:paraId="6F3B7032"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-3,6</w:t>
            </w:r>
          </w:p>
        </w:tc>
        <w:tc>
          <w:tcPr>
            <w:tcW w:w="982" w:type="dxa"/>
            <w:tcBorders>
              <w:top w:val="nil"/>
              <w:left w:val="nil"/>
              <w:bottom w:val="single" w:sz="8" w:space="0" w:color="auto"/>
              <w:right w:val="single" w:sz="8" w:space="0" w:color="auto"/>
            </w:tcBorders>
            <w:shd w:val="clear" w:color="000000" w:fill="FFFFFF"/>
            <w:vAlign w:val="center"/>
            <w:hideMark/>
          </w:tcPr>
          <w:p w14:paraId="564C2F90"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-5,9</w:t>
            </w:r>
          </w:p>
        </w:tc>
        <w:tc>
          <w:tcPr>
            <w:tcW w:w="879" w:type="dxa"/>
            <w:tcBorders>
              <w:top w:val="nil"/>
              <w:left w:val="nil"/>
              <w:bottom w:val="single" w:sz="8" w:space="0" w:color="auto"/>
              <w:right w:val="single" w:sz="8" w:space="0" w:color="auto"/>
            </w:tcBorders>
            <w:shd w:val="clear" w:color="000000" w:fill="FFFFFF"/>
            <w:vAlign w:val="center"/>
            <w:hideMark/>
          </w:tcPr>
          <w:p w14:paraId="43C99BD3"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2,2</w:t>
            </w:r>
          </w:p>
        </w:tc>
        <w:tc>
          <w:tcPr>
            <w:tcW w:w="680" w:type="dxa"/>
            <w:tcBorders>
              <w:top w:val="nil"/>
              <w:left w:val="nil"/>
              <w:bottom w:val="single" w:sz="8" w:space="0" w:color="auto"/>
              <w:right w:val="single" w:sz="8" w:space="0" w:color="auto"/>
            </w:tcBorders>
            <w:shd w:val="clear" w:color="000000" w:fill="FFFFFF"/>
            <w:vAlign w:val="center"/>
            <w:hideMark/>
          </w:tcPr>
          <w:p w14:paraId="286BD8CD"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-9,1</w:t>
            </w:r>
          </w:p>
        </w:tc>
        <w:tc>
          <w:tcPr>
            <w:tcW w:w="789" w:type="dxa"/>
            <w:tcBorders>
              <w:top w:val="nil"/>
              <w:left w:val="nil"/>
              <w:bottom w:val="single" w:sz="8" w:space="0" w:color="auto"/>
              <w:right w:val="single" w:sz="8" w:space="0" w:color="auto"/>
            </w:tcBorders>
            <w:shd w:val="clear" w:color="000000" w:fill="FFFFFF"/>
            <w:vAlign w:val="center"/>
            <w:hideMark/>
          </w:tcPr>
          <w:p w14:paraId="4C690092"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-12,2</w:t>
            </w:r>
          </w:p>
        </w:tc>
        <w:tc>
          <w:tcPr>
            <w:tcW w:w="790" w:type="dxa"/>
            <w:tcBorders>
              <w:top w:val="nil"/>
              <w:left w:val="nil"/>
              <w:bottom w:val="single" w:sz="8" w:space="0" w:color="auto"/>
              <w:right w:val="single" w:sz="8" w:space="0" w:color="auto"/>
            </w:tcBorders>
            <w:shd w:val="clear" w:color="000000" w:fill="FFFFFF"/>
            <w:vAlign w:val="center"/>
            <w:hideMark/>
          </w:tcPr>
          <w:p w14:paraId="7347C18B"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-10,6</w:t>
            </w:r>
          </w:p>
        </w:tc>
        <w:tc>
          <w:tcPr>
            <w:tcW w:w="850" w:type="dxa"/>
            <w:tcBorders>
              <w:top w:val="nil"/>
              <w:left w:val="nil"/>
              <w:bottom w:val="single" w:sz="8" w:space="0" w:color="auto"/>
              <w:right w:val="single" w:sz="8" w:space="0" w:color="auto"/>
            </w:tcBorders>
            <w:shd w:val="clear" w:color="000000" w:fill="FFFFFF"/>
            <w:vAlign w:val="center"/>
            <w:hideMark/>
          </w:tcPr>
          <w:p w14:paraId="22D8EFE7" w14:textId="77777777" w:rsidR="00E06BD3" w:rsidRPr="00E06BD3" w:rsidRDefault="00E06BD3" w:rsidP="00E06BD3">
            <w:pPr>
              <w:spacing w:after="0" w:line="240" w:lineRule="auto"/>
              <w:jc w:val="right"/>
              <w:rPr>
                <w:rFonts w:ascii="Arial" w:eastAsia="Times New Roman" w:hAnsi="Arial" w:cs="Arial"/>
                <w:b/>
                <w:bCs/>
                <w:color w:val="000000"/>
                <w:sz w:val="16"/>
                <w:szCs w:val="16"/>
                <w:lang w:eastAsia="sv-SE"/>
              </w:rPr>
            </w:pPr>
            <w:r w:rsidRPr="00E06BD3">
              <w:rPr>
                <w:rFonts w:ascii="Arial" w:eastAsia="Times New Roman" w:hAnsi="Arial" w:cs="Arial"/>
                <w:b/>
                <w:bCs/>
                <w:color w:val="000000"/>
                <w:sz w:val="16"/>
                <w:szCs w:val="16"/>
                <w:lang w:eastAsia="sv-SE"/>
              </w:rPr>
              <w:t>-20,7</w:t>
            </w:r>
          </w:p>
        </w:tc>
      </w:tr>
    </w:tbl>
    <w:p w14:paraId="3E5055CB" w14:textId="77777777" w:rsidR="00A03FE6" w:rsidRPr="00243B2A" w:rsidRDefault="00A03FE6" w:rsidP="0065287C">
      <w:pPr>
        <w:rPr>
          <w:sz w:val="24"/>
          <w:szCs w:val="28"/>
        </w:rPr>
      </w:pPr>
    </w:p>
    <w:p w14:paraId="0FFE34DD" w14:textId="05CDE01D" w:rsidR="0065287C" w:rsidRPr="00C33D38" w:rsidRDefault="0065287C" w:rsidP="0065287C">
      <w:pPr>
        <w:rPr>
          <w:sz w:val="24"/>
          <w:szCs w:val="28"/>
        </w:rPr>
      </w:pPr>
      <w:r w:rsidRPr="00C33D38">
        <w:rPr>
          <w:sz w:val="24"/>
          <w:szCs w:val="28"/>
        </w:rPr>
        <w:t>För perioden jan</w:t>
      </w:r>
      <w:r w:rsidR="006A109B" w:rsidRPr="00C33D38">
        <w:rPr>
          <w:sz w:val="24"/>
          <w:szCs w:val="28"/>
        </w:rPr>
        <w:t>uari</w:t>
      </w:r>
      <w:r w:rsidRPr="00C33D38">
        <w:rPr>
          <w:sz w:val="24"/>
          <w:szCs w:val="28"/>
        </w:rPr>
        <w:t>-</w:t>
      </w:r>
      <w:r w:rsidR="00AA2512" w:rsidRPr="00C33D38">
        <w:rPr>
          <w:sz w:val="24"/>
          <w:szCs w:val="28"/>
        </w:rPr>
        <w:t>juli</w:t>
      </w:r>
      <w:r w:rsidRPr="00C33D38">
        <w:rPr>
          <w:sz w:val="24"/>
          <w:szCs w:val="28"/>
        </w:rPr>
        <w:t xml:space="preserve"> redovisas en avvikelse mot budget på </w:t>
      </w:r>
      <w:r w:rsidR="00D43008" w:rsidRPr="00C33D38">
        <w:rPr>
          <w:sz w:val="24"/>
          <w:szCs w:val="28"/>
        </w:rPr>
        <w:t xml:space="preserve">+ </w:t>
      </w:r>
      <w:r w:rsidR="00C33D38" w:rsidRPr="00C33D38">
        <w:rPr>
          <w:sz w:val="24"/>
          <w:szCs w:val="28"/>
        </w:rPr>
        <w:t>2,2</w:t>
      </w:r>
      <w:r w:rsidRPr="00C33D38">
        <w:rPr>
          <w:sz w:val="24"/>
          <w:szCs w:val="28"/>
        </w:rPr>
        <w:t xml:space="preserve"> m</w:t>
      </w:r>
      <w:r w:rsidR="00A03FE6" w:rsidRPr="00C33D38">
        <w:rPr>
          <w:sz w:val="24"/>
          <w:szCs w:val="28"/>
        </w:rPr>
        <w:t>n</w:t>
      </w:r>
      <w:r w:rsidRPr="00C33D38">
        <w:rPr>
          <w:sz w:val="24"/>
          <w:szCs w:val="28"/>
        </w:rPr>
        <w:t xml:space="preserve">kr. </w:t>
      </w:r>
      <w:r w:rsidR="00C33D38" w:rsidRPr="00C33D38">
        <w:rPr>
          <w:sz w:val="24"/>
          <w:szCs w:val="28"/>
        </w:rPr>
        <w:t xml:space="preserve">Precis som tidigare förklaras resultatet av </w:t>
      </w:r>
      <w:r w:rsidR="00891019" w:rsidRPr="00C33D38">
        <w:rPr>
          <w:sz w:val="24"/>
          <w:szCs w:val="28"/>
        </w:rPr>
        <w:t xml:space="preserve">lägre </w:t>
      </w:r>
      <w:r w:rsidR="00A03FE6" w:rsidRPr="00C33D38">
        <w:rPr>
          <w:sz w:val="24"/>
          <w:szCs w:val="28"/>
        </w:rPr>
        <w:t>behandlingskostnader på grund av den avskaffade förbränningsskatten.</w:t>
      </w:r>
    </w:p>
    <w:p w14:paraId="7318BDEA" w14:textId="73B08FB2" w:rsidR="00E753A3" w:rsidRPr="00C33D38" w:rsidRDefault="0065287C" w:rsidP="000228C1">
      <w:pPr>
        <w:rPr>
          <w:sz w:val="24"/>
          <w:szCs w:val="28"/>
        </w:rPr>
      </w:pPr>
      <w:r w:rsidRPr="00C33D38">
        <w:rPr>
          <w:sz w:val="24"/>
          <w:szCs w:val="28"/>
        </w:rPr>
        <w:lastRenderedPageBreak/>
        <w:t xml:space="preserve">För helåret är prognosen </w:t>
      </w:r>
      <w:r w:rsidR="00D43008" w:rsidRPr="00C33D38">
        <w:rPr>
          <w:sz w:val="24"/>
          <w:szCs w:val="28"/>
        </w:rPr>
        <w:t xml:space="preserve">oförändrad mot senaste prognos i </w:t>
      </w:r>
      <w:r w:rsidR="00243B2A" w:rsidRPr="00C33D38">
        <w:rPr>
          <w:sz w:val="24"/>
          <w:szCs w:val="28"/>
        </w:rPr>
        <w:t>mars</w:t>
      </w:r>
      <w:r w:rsidR="00D43008" w:rsidRPr="00C33D38">
        <w:rPr>
          <w:sz w:val="24"/>
          <w:szCs w:val="28"/>
        </w:rPr>
        <w:t xml:space="preserve">, det vill säga </w:t>
      </w:r>
      <w:r w:rsidRPr="00C33D38">
        <w:rPr>
          <w:sz w:val="24"/>
          <w:szCs w:val="28"/>
        </w:rPr>
        <w:t>e</w:t>
      </w:r>
      <w:r w:rsidR="00891019" w:rsidRPr="00C33D38">
        <w:rPr>
          <w:sz w:val="24"/>
          <w:szCs w:val="28"/>
        </w:rPr>
        <w:t xml:space="preserve">n </w:t>
      </w:r>
      <w:r w:rsidR="00C33D38" w:rsidRPr="00C33D38">
        <w:rPr>
          <w:sz w:val="24"/>
          <w:szCs w:val="28"/>
        </w:rPr>
        <w:t>negativ</w:t>
      </w:r>
      <w:r w:rsidR="00A03FE6" w:rsidRPr="00C33D38">
        <w:rPr>
          <w:sz w:val="24"/>
          <w:szCs w:val="28"/>
        </w:rPr>
        <w:t xml:space="preserve"> avvikelse</w:t>
      </w:r>
      <w:r w:rsidR="00891019" w:rsidRPr="00C33D38">
        <w:rPr>
          <w:sz w:val="24"/>
          <w:szCs w:val="28"/>
        </w:rPr>
        <w:t xml:space="preserve"> om </w:t>
      </w:r>
      <w:r w:rsidR="00C33D38" w:rsidRPr="00C33D38">
        <w:rPr>
          <w:sz w:val="24"/>
          <w:szCs w:val="28"/>
        </w:rPr>
        <w:t>1,6</w:t>
      </w:r>
      <w:r w:rsidR="00A03FE6" w:rsidRPr="00C33D38">
        <w:rPr>
          <w:sz w:val="24"/>
          <w:szCs w:val="28"/>
        </w:rPr>
        <w:t xml:space="preserve"> mnkr</w:t>
      </w:r>
      <w:r w:rsidR="00891019" w:rsidRPr="00C33D38">
        <w:rPr>
          <w:sz w:val="24"/>
          <w:szCs w:val="28"/>
        </w:rPr>
        <w:t xml:space="preserve"> jämfört med budget</w:t>
      </w:r>
      <w:r w:rsidRPr="00C33D38">
        <w:rPr>
          <w:sz w:val="24"/>
          <w:szCs w:val="28"/>
        </w:rPr>
        <w:t>. Lägre taxeintäkter</w:t>
      </w:r>
      <w:r w:rsidR="00891019" w:rsidRPr="00C33D38">
        <w:rPr>
          <w:sz w:val="24"/>
          <w:szCs w:val="28"/>
        </w:rPr>
        <w:t xml:space="preserve"> </w:t>
      </w:r>
      <w:r w:rsidR="00A03FE6" w:rsidRPr="00C33D38">
        <w:rPr>
          <w:sz w:val="24"/>
          <w:szCs w:val="28"/>
        </w:rPr>
        <w:t xml:space="preserve">samt lägre försäljningsintäkter vägs upp av lägre behandlingskostnader på grund av den avskaffade förbränningsskatten. </w:t>
      </w:r>
      <w:r w:rsidR="00D43008" w:rsidRPr="00C33D38">
        <w:rPr>
          <w:sz w:val="24"/>
          <w:szCs w:val="28"/>
        </w:rPr>
        <w:t xml:space="preserve">Förvaltningen avser återkomma med en förnyad prognos i samband med </w:t>
      </w:r>
      <w:proofErr w:type="gramStart"/>
      <w:r w:rsidR="00C33D38" w:rsidRPr="00C33D38">
        <w:rPr>
          <w:sz w:val="24"/>
          <w:szCs w:val="28"/>
        </w:rPr>
        <w:t>delårsrapport augusti</w:t>
      </w:r>
      <w:proofErr w:type="gramEnd"/>
      <w:r w:rsidR="00D43008" w:rsidRPr="00C33D38">
        <w:rPr>
          <w:sz w:val="24"/>
          <w:szCs w:val="28"/>
        </w:rPr>
        <w:t>.</w:t>
      </w:r>
    </w:p>
    <w:p w14:paraId="1883E06A" w14:textId="77777777" w:rsidR="0065287C" w:rsidRPr="00E06548" w:rsidRDefault="0065287C" w:rsidP="0065287C">
      <w:pPr>
        <w:pStyle w:val="Rubrik3"/>
      </w:pPr>
      <w:r w:rsidRPr="00E06548">
        <w:t>Återbruket</w:t>
      </w:r>
    </w:p>
    <w:p w14:paraId="0441C3DF" w14:textId="5505B348" w:rsidR="0065287C" w:rsidRPr="00E06548" w:rsidRDefault="0065287C" w:rsidP="000228C1">
      <w:pPr>
        <w:rPr>
          <w:sz w:val="24"/>
          <w:szCs w:val="28"/>
        </w:rPr>
      </w:pPr>
      <w:r w:rsidRPr="00E06548">
        <w:rPr>
          <w:sz w:val="24"/>
          <w:szCs w:val="28"/>
        </w:rPr>
        <w:t>F</w:t>
      </w:r>
      <w:r w:rsidR="001514BD" w:rsidRPr="00E06548">
        <w:rPr>
          <w:sz w:val="24"/>
          <w:szCs w:val="28"/>
        </w:rPr>
        <w:t>ö</w:t>
      </w:r>
      <w:r w:rsidRPr="00E06548">
        <w:rPr>
          <w:sz w:val="24"/>
          <w:szCs w:val="28"/>
        </w:rPr>
        <w:t xml:space="preserve">r återbruket redovisas för perioden ett </w:t>
      </w:r>
      <w:r w:rsidR="00A03FE6" w:rsidRPr="00E06548">
        <w:rPr>
          <w:sz w:val="24"/>
          <w:szCs w:val="28"/>
        </w:rPr>
        <w:t xml:space="preserve">marginellt </w:t>
      </w:r>
      <w:r w:rsidR="00C33D38" w:rsidRPr="00E06548">
        <w:rPr>
          <w:sz w:val="24"/>
          <w:szCs w:val="28"/>
        </w:rPr>
        <w:t>överskott</w:t>
      </w:r>
      <w:r w:rsidR="00A03FE6" w:rsidRPr="00E06548">
        <w:rPr>
          <w:sz w:val="24"/>
          <w:szCs w:val="28"/>
        </w:rPr>
        <w:t xml:space="preserve"> </w:t>
      </w:r>
      <w:r w:rsidRPr="00E06548">
        <w:rPr>
          <w:sz w:val="24"/>
          <w:szCs w:val="28"/>
        </w:rPr>
        <w:t xml:space="preserve">om </w:t>
      </w:r>
      <w:r w:rsidR="00A03FE6" w:rsidRPr="00E06548">
        <w:rPr>
          <w:sz w:val="24"/>
          <w:szCs w:val="28"/>
        </w:rPr>
        <w:t>0,</w:t>
      </w:r>
      <w:r w:rsidR="00C33D38" w:rsidRPr="00E06548">
        <w:rPr>
          <w:sz w:val="24"/>
          <w:szCs w:val="28"/>
        </w:rPr>
        <w:t>2</w:t>
      </w:r>
      <w:r w:rsidR="00A03FE6" w:rsidRPr="00E06548">
        <w:rPr>
          <w:sz w:val="24"/>
          <w:szCs w:val="28"/>
        </w:rPr>
        <w:t xml:space="preserve"> mnkr jämfört med budget. </w:t>
      </w:r>
      <w:r w:rsidRPr="00E06548">
        <w:rPr>
          <w:sz w:val="24"/>
          <w:szCs w:val="28"/>
        </w:rPr>
        <w:t xml:space="preserve">Prognosen för helåret är </w:t>
      </w:r>
      <w:r w:rsidR="00D43008" w:rsidRPr="00E06548">
        <w:rPr>
          <w:sz w:val="24"/>
          <w:szCs w:val="28"/>
        </w:rPr>
        <w:t xml:space="preserve">fortsatt </w:t>
      </w:r>
      <w:r w:rsidRPr="00E06548">
        <w:rPr>
          <w:sz w:val="24"/>
          <w:szCs w:val="28"/>
        </w:rPr>
        <w:t xml:space="preserve">ett </w:t>
      </w:r>
      <w:r w:rsidR="00C33D38" w:rsidRPr="00E06548">
        <w:rPr>
          <w:sz w:val="24"/>
          <w:szCs w:val="28"/>
        </w:rPr>
        <w:t>nollresultat</w:t>
      </w:r>
      <w:r w:rsidR="00C5585C" w:rsidRPr="00E06548">
        <w:rPr>
          <w:sz w:val="24"/>
          <w:szCs w:val="28"/>
        </w:rPr>
        <w:t xml:space="preserve">, vilket </w:t>
      </w:r>
      <w:r w:rsidR="00243B2A" w:rsidRPr="00E06548">
        <w:rPr>
          <w:sz w:val="24"/>
          <w:szCs w:val="28"/>
        </w:rPr>
        <w:t xml:space="preserve">i princip </w:t>
      </w:r>
      <w:r w:rsidR="00C5585C" w:rsidRPr="00E06548">
        <w:rPr>
          <w:sz w:val="24"/>
          <w:szCs w:val="28"/>
        </w:rPr>
        <w:t>är i linje med budget</w:t>
      </w:r>
      <w:r w:rsidRPr="00E06548">
        <w:rPr>
          <w:sz w:val="24"/>
          <w:szCs w:val="28"/>
        </w:rPr>
        <w:t>.</w:t>
      </w:r>
    </w:p>
    <w:p w14:paraId="1786378C" w14:textId="6CC9B1B3" w:rsidR="004B7ACA" w:rsidRPr="004B7ACA" w:rsidRDefault="000D198A" w:rsidP="004B7ACA">
      <w:pPr>
        <w:pStyle w:val="Rubrik2"/>
      </w:pPr>
      <w:r w:rsidRPr="004B7ACA">
        <w:t xml:space="preserve">Investeringar </w:t>
      </w:r>
    </w:p>
    <w:p w14:paraId="7927753D" w14:textId="0B95B18D" w:rsidR="000901EE" w:rsidRPr="000901EE" w:rsidRDefault="000901EE" w:rsidP="000901EE">
      <w:pPr>
        <w:rPr>
          <w:sz w:val="24"/>
        </w:rPr>
      </w:pPr>
      <w:r w:rsidRPr="000901EE">
        <w:rPr>
          <w:sz w:val="24"/>
        </w:rPr>
        <w:t xml:space="preserve">Kretslopps och vattens uppföljning av investeringsverksamheten innebär att en genomgång av samtliga projekt görs. Rapporten är uppdaterad med utfall från juli. Prognosen är från maj då förvaltningen gjorde en bedömning av investeringsprognos baserat på utfall, tidigare prognoser, situationen i samhället samt tillkommande beslut. </w:t>
      </w:r>
    </w:p>
    <w:p w14:paraId="79C99314" w14:textId="77777777" w:rsidR="000901EE" w:rsidRPr="00C53DA9" w:rsidRDefault="000901EE" w:rsidP="000901EE">
      <w:pPr>
        <w:rPr>
          <w:rFonts w:ascii="Times New Roman" w:hAnsi="Times New Roman" w:cs="Times New Roman"/>
          <w:sz w:val="24"/>
        </w:rPr>
      </w:pPr>
      <w:r w:rsidRPr="00C53DA9">
        <w:rPr>
          <w:rFonts w:ascii="Times New Roman" w:hAnsi="Times New Roman" w:cs="Times New Roman"/>
          <w:sz w:val="24"/>
        </w:rPr>
        <w:t xml:space="preserve">Årsprognosen från maj 2023 för VA och avfallsinvesteringar uppgår till 633 mnkr, detta är exklusive exploateringar, skattefinansierade skyfallsinvesteringar och tekniskt vatten. Orsak är förbättrad framdrift i projekten. Den är fortfarande under budget med 136 mnkr. </w:t>
      </w:r>
    </w:p>
    <w:p w14:paraId="451C5216" w14:textId="77777777" w:rsidR="000901EE" w:rsidRPr="00C53DA9" w:rsidRDefault="000901EE" w:rsidP="000901EE">
      <w:pPr>
        <w:rPr>
          <w:rFonts w:ascii="Times New Roman" w:hAnsi="Times New Roman" w:cs="Times New Roman"/>
          <w:color w:val="000000"/>
          <w:sz w:val="24"/>
        </w:rPr>
      </w:pPr>
      <w:r w:rsidRPr="00C53DA9">
        <w:rPr>
          <w:rFonts w:ascii="Times New Roman" w:hAnsi="Times New Roman" w:cs="Times New Roman"/>
          <w:color w:val="000000"/>
          <w:sz w:val="24"/>
        </w:rPr>
        <w:t xml:space="preserve">Avvikelsen mot budget beror på riskbedömning att flera mindre och medelstora projekt inom dricksvattenproduktion och avloppsavledning kan komma att flyttas fram i tiden samt risk att genomförda förändringsarbeten inte får full effekt under året. Avvikelsen för avfall beror på senarelagda investeringar på </w:t>
      </w:r>
      <w:proofErr w:type="spellStart"/>
      <w:r w:rsidRPr="00C53DA9">
        <w:rPr>
          <w:rFonts w:ascii="Times New Roman" w:hAnsi="Times New Roman" w:cs="Times New Roman"/>
          <w:color w:val="000000"/>
          <w:sz w:val="24"/>
        </w:rPr>
        <w:t>Bulycke</w:t>
      </w:r>
      <w:proofErr w:type="spellEnd"/>
      <w:r w:rsidRPr="00C53DA9">
        <w:rPr>
          <w:rFonts w:ascii="Times New Roman" w:hAnsi="Times New Roman" w:cs="Times New Roman"/>
          <w:color w:val="000000"/>
          <w:sz w:val="24"/>
        </w:rPr>
        <w:t xml:space="preserve">- och </w:t>
      </w:r>
      <w:proofErr w:type="spellStart"/>
      <w:r w:rsidRPr="00C53DA9">
        <w:rPr>
          <w:rFonts w:ascii="Times New Roman" w:hAnsi="Times New Roman" w:cs="Times New Roman"/>
          <w:color w:val="000000"/>
          <w:sz w:val="24"/>
        </w:rPr>
        <w:t>Tagene</w:t>
      </w:r>
      <w:proofErr w:type="spellEnd"/>
      <w:r w:rsidRPr="00C53DA9">
        <w:rPr>
          <w:rFonts w:ascii="Times New Roman" w:hAnsi="Times New Roman" w:cs="Times New Roman"/>
          <w:color w:val="000000"/>
          <w:sz w:val="24"/>
        </w:rPr>
        <w:t xml:space="preserve"> återvinningscentraler samt något lägre prognos för investeringskostnaderna för den nya kretsloppsparken där Higab tar större del av utgifterna.</w:t>
      </w:r>
    </w:p>
    <w:p w14:paraId="3D4DC47A" w14:textId="77777777" w:rsidR="0076632F" w:rsidRPr="004B7ACA" w:rsidRDefault="0076632F" w:rsidP="0076632F">
      <w:pPr>
        <w:pStyle w:val="Rubrik2"/>
      </w:pPr>
      <w:r w:rsidRPr="004B7ACA">
        <w:t>Reinvesteringar</w:t>
      </w:r>
    </w:p>
    <w:p w14:paraId="41BE6037" w14:textId="3DC5B7CC" w:rsidR="001E2403" w:rsidRPr="000901EE" w:rsidRDefault="000901EE" w:rsidP="001E2403">
      <w:pPr>
        <w:rPr>
          <w:rFonts w:ascii="Times New Roman" w:hAnsi="Times New Roman" w:cs="Times New Roman"/>
          <w:sz w:val="24"/>
        </w:rPr>
      </w:pPr>
      <w:r w:rsidRPr="00C53DA9">
        <w:rPr>
          <w:rFonts w:ascii="Times New Roman" w:hAnsi="Times New Roman" w:cs="Times New Roman"/>
          <w:sz w:val="24"/>
        </w:rPr>
        <w:t>Årsprognosen från maj 2023 för reinvesteringar uppgår till 221 mnkr. Prognosen är 16 miljoner lägre än budget. Avvikelsen är inom dricksvattenproduktion då vissa investeringar skjuts på framtiden.</w:t>
      </w:r>
    </w:p>
    <w:tbl>
      <w:tblPr>
        <w:tblStyle w:val="Tabellrutnt"/>
        <w:tblW w:w="0" w:type="auto"/>
        <w:tblLook w:val="04A0" w:firstRow="1" w:lastRow="0" w:firstColumn="1" w:lastColumn="0" w:noHBand="0" w:noVBand="1"/>
      </w:tblPr>
      <w:tblGrid>
        <w:gridCol w:w="2121"/>
        <w:gridCol w:w="1938"/>
        <w:gridCol w:w="1963"/>
        <w:gridCol w:w="1904"/>
      </w:tblGrid>
      <w:tr w:rsidR="001E2403" w14:paraId="0AB35DC0" w14:textId="77777777" w:rsidTr="00622559">
        <w:trPr>
          <w:cnfStyle w:val="100000000000" w:firstRow="1" w:lastRow="0" w:firstColumn="0" w:lastColumn="0" w:oddVBand="0" w:evenVBand="0" w:oddHBand="0" w:evenHBand="0" w:firstRowFirstColumn="0" w:firstRowLastColumn="0" w:lastRowFirstColumn="0" w:lastRowLastColumn="0"/>
        </w:trPr>
        <w:tc>
          <w:tcPr>
            <w:tcW w:w="2265" w:type="dxa"/>
          </w:tcPr>
          <w:p w14:paraId="419AED35" w14:textId="5B2BF83E" w:rsidR="001E2403" w:rsidRDefault="00D648E3" w:rsidP="00622559">
            <w:pPr>
              <w:rPr>
                <w:sz w:val="23"/>
                <w:szCs w:val="23"/>
              </w:rPr>
            </w:pPr>
            <w:r>
              <w:rPr>
                <w:sz w:val="23"/>
                <w:szCs w:val="23"/>
              </w:rPr>
              <w:t>Mkr</w:t>
            </w:r>
          </w:p>
        </w:tc>
        <w:tc>
          <w:tcPr>
            <w:tcW w:w="2265" w:type="dxa"/>
          </w:tcPr>
          <w:p w14:paraId="6F8AEF1B" w14:textId="77777777" w:rsidR="001E2403" w:rsidRDefault="001E2403" w:rsidP="00622559">
            <w:pPr>
              <w:rPr>
                <w:sz w:val="23"/>
                <w:szCs w:val="23"/>
              </w:rPr>
            </w:pPr>
            <w:r>
              <w:rPr>
                <w:sz w:val="23"/>
                <w:szCs w:val="23"/>
              </w:rPr>
              <w:t>Budget</w:t>
            </w:r>
          </w:p>
        </w:tc>
        <w:tc>
          <w:tcPr>
            <w:tcW w:w="2266" w:type="dxa"/>
          </w:tcPr>
          <w:p w14:paraId="4003CB61" w14:textId="77777777" w:rsidR="001E2403" w:rsidRDefault="001E2403" w:rsidP="00622559">
            <w:pPr>
              <w:rPr>
                <w:sz w:val="23"/>
                <w:szCs w:val="23"/>
              </w:rPr>
            </w:pPr>
            <w:r>
              <w:rPr>
                <w:sz w:val="23"/>
                <w:szCs w:val="23"/>
              </w:rPr>
              <w:t>Prognos</w:t>
            </w:r>
          </w:p>
        </w:tc>
        <w:tc>
          <w:tcPr>
            <w:tcW w:w="2266" w:type="dxa"/>
          </w:tcPr>
          <w:p w14:paraId="6C9E29B8" w14:textId="77777777" w:rsidR="001E2403" w:rsidRDefault="001E2403" w:rsidP="00622559">
            <w:pPr>
              <w:rPr>
                <w:sz w:val="23"/>
                <w:szCs w:val="23"/>
              </w:rPr>
            </w:pPr>
            <w:r>
              <w:rPr>
                <w:sz w:val="23"/>
                <w:szCs w:val="23"/>
              </w:rPr>
              <w:t>Utfall</w:t>
            </w:r>
          </w:p>
        </w:tc>
      </w:tr>
      <w:tr w:rsidR="001E2403" w14:paraId="719D2BF3" w14:textId="77777777" w:rsidTr="00622559">
        <w:tc>
          <w:tcPr>
            <w:tcW w:w="2265" w:type="dxa"/>
          </w:tcPr>
          <w:p w14:paraId="1E20436D" w14:textId="77777777" w:rsidR="001E2403" w:rsidRDefault="001E2403" w:rsidP="00622559">
            <w:pPr>
              <w:rPr>
                <w:sz w:val="23"/>
                <w:szCs w:val="23"/>
              </w:rPr>
            </w:pPr>
            <w:r>
              <w:rPr>
                <w:sz w:val="23"/>
                <w:szCs w:val="23"/>
              </w:rPr>
              <w:t>Investeringar</w:t>
            </w:r>
          </w:p>
        </w:tc>
        <w:tc>
          <w:tcPr>
            <w:tcW w:w="2265" w:type="dxa"/>
          </w:tcPr>
          <w:p w14:paraId="56C77AAC" w14:textId="131DB25B" w:rsidR="001E2403" w:rsidRDefault="0076632F" w:rsidP="00622559">
            <w:pPr>
              <w:rPr>
                <w:sz w:val="23"/>
                <w:szCs w:val="23"/>
              </w:rPr>
            </w:pPr>
            <w:r>
              <w:rPr>
                <w:sz w:val="23"/>
                <w:szCs w:val="23"/>
              </w:rPr>
              <w:t>769</w:t>
            </w:r>
          </w:p>
        </w:tc>
        <w:tc>
          <w:tcPr>
            <w:tcW w:w="2266" w:type="dxa"/>
          </w:tcPr>
          <w:p w14:paraId="3DB9FCAA" w14:textId="68963ED3" w:rsidR="001E2403" w:rsidRDefault="004B7ACA" w:rsidP="00622559">
            <w:pPr>
              <w:rPr>
                <w:sz w:val="23"/>
                <w:szCs w:val="23"/>
              </w:rPr>
            </w:pPr>
            <w:r>
              <w:rPr>
                <w:sz w:val="23"/>
                <w:szCs w:val="23"/>
              </w:rPr>
              <w:t>633</w:t>
            </w:r>
          </w:p>
        </w:tc>
        <w:tc>
          <w:tcPr>
            <w:tcW w:w="2266" w:type="dxa"/>
          </w:tcPr>
          <w:p w14:paraId="231ED9FB" w14:textId="4F89E905" w:rsidR="001E2403" w:rsidRDefault="004B7ACA" w:rsidP="00622559">
            <w:pPr>
              <w:rPr>
                <w:sz w:val="23"/>
                <w:szCs w:val="23"/>
              </w:rPr>
            </w:pPr>
            <w:r>
              <w:rPr>
                <w:sz w:val="23"/>
                <w:szCs w:val="23"/>
              </w:rPr>
              <w:t>355</w:t>
            </w:r>
          </w:p>
        </w:tc>
      </w:tr>
      <w:tr w:rsidR="001E2403" w14:paraId="3D848302" w14:textId="77777777" w:rsidTr="00622559">
        <w:tc>
          <w:tcPr>
            <w:tcW w:w="2265" w:type="dxa"/>
          </w:tcPr>
          <w:p w14:paraId="35AC0B34" w14:textId="77777777" w:rsidR="001E2403" w:rsidRDefault="001E2403" w:rsidP="00622559">
            <w:pPr>
              <w:rPr>
                <w:sz w:val="23"/>
                <w:szCs w:val="23"/>
              </w:rPr>
            </w:pPr>
            <w:r>
              <w:rPr>
                <w:sz w:val="23"/>
                <w:szCs w:val="23"/>
              </w:rPr>
              <w:t>Reinvesteringar</w:t>
            </w:r>
          </w:p>
        </w:tc>
        <w:tc>
          <w:tcPr>
            <w:tcW w:w="2265" w:type="dxa"/>
          </w:tcPr>
          <w:p w14:paraId="2436A288" w14:textId="62F1A1E7" w:rsidR="001E2403" w:rsidRDefault="0076632F" w:rsidP="00622559">
            <w:pPr>
              <w:rPr>
                <w:sz w:val="23"/>
                <w:szCs w:val="23"/>
              </w:rPr>
            </w:pPr>
            <w:r>
              <w:rPr>
                <w:sz w:val="23"/>
                <w:szCs w:val="23"/>
              </w:rPr>
              <w:t>237</w:t>
            </w:r>
          </w:p>
        </w:tc>
        <w:tc>
          <w:tcPr>
            <w:tcW w:w="2266" w:type="dxa"/>
          </w:tcPr>
          <w:p w14:paraId="5F0610AC" w14:textId="2E3CD665" w:rsidR="001E2403" w:rsidRDefault="004B7ACA" w:rsidP="00622559">
            <w:pPr>
              <w:rPr>
                <w:sz w:val="23"/>
                <w:szCs w:val="23"/>
              </w:rPr>
            </w:pPr>
            <w:r>
              <w:rPr>
                <w:sz w:val="23"/>
                <w:szCs w:val="23"/>
              </w:rPr>
              <w:t>221</w:t>
            </w:r>
          </w:p>
        </w:tc>
        <w:tc>
          <w:tcPr>
            <w:tcW w:w="2266" w:type="dxa"/>
          </w:tcPr>
          <w:p w14:paraId="06BA8B74" w14:textId="2E8BF039" w:rsidR="001E2403" w:rsidRDefault="004B7ACA" w:rsidP="00622559">
            <w:pPr>
              <w:rPr>
                <w:sz w:val="23"/>
                <w:szCs w:val="23"/>
              </w:rPr>
            </w:pPr>
            <w:r>
              <w:rPr>
                <w:sz w:val="23"/>
                <w:szCs w:val="23"/>
              </w:rPr>
              <w:t>124</w:t>
            </w:r>
          </w:p>
        </w:tc>
      </w:tr>
      <w:tr w:rsidR="001E2403" w14:paraId="59C22843" w14:textId="77777777" w:rsidTr="00622559">
        <w:tc>
          <w:tcPr>
            <w:tcW w:w="2265" w:type="dxa"/>
          </w:tcPr>
          <w:p w14:paraId="1FA2C177" w14:textId="77777777" w:rsidR="001E2403" w:rsidRDefault="001E2403" w:rsidP="00622559">
            <w:pPr>
              <w:rPr>
                <w:sz w:val="23"/>
                <w:szCs w:val="23"/>
              </w:rPr>
            </w:pPr>
            <w:r>
              <w:rPr>
                <w:sz w:val="23"/>
                <w:szCs w:val="23"/>
              </w:rPr>
              <w:t>Summa</w:t>
            </w:r>
          </w:p>
        </w:tc>
        <w:tc>
          <w:tcPr>
            <w:tcW w:w="2265" w:type="dxa"/>
          </w:tcPr>
          <w:p w14:paraId="41E4AE9F" w14:textId="1DDE8DBC" w:rsidR="001E2403" w:rsidRDefault="0076632F" w:rsidP="00622559">
            <w:pPr>
              <w:rPr>
                <w:sz w:val="23"/>
                <w:szCs w:val="23"/>
              </w:rPr>
            </w:pPr>
            <w:r>
              <w:rPr>
                <w:sz w:val="23"/>
                <w:szCs w:val="23"/>
              </w:rPr>
              <w:t>1006</w:t>
            </w:r>
          </w:p>
        </w:tc>
        <w:tc>
          <w:tcPr>
            <w:tcW w:w="2266" w:type="dxa"/>
          </w:tcPr>
          <w:p w14:paraId="7D0BF308" w14:textId="1530540C" w:rsidR="001E2403" w:rsidRDefault="004B7ACA" w:rsidP="00622559">
            <w:pPr>
              <w:rPr>
                <w:sz w:val="23"/>
                <w:szCs w:val="23"/>
              </w:rPr>
            </w:pPr>
            <w:r>
              <w:rPr>
                <w:sz w:val="23"/>
                <w:szCs w:val="23"/>
              </w:rPr>
              <w:t>854</w:t>
            </w:r>
          </w:p>
        </w:tc>
        <w:tc>
          <w:tcPr>
            <w:tcW w:w="2266" w:type="dxa"/>
          </w:tcPr>
          <w:p w14:paraId="4E7781FA" w14:textId="0E4C21EB" w:rsidR="001E2403" w:rsidRDefault="004B7ACA" w:rsidP="00622559">
            <w:pPr>
              <w:rPr>
                <w:sz w:val="23"/>
                <w:szCs w:val="23"/>
              </w:rPr>
            </w:pPr>
            <w:r>
              <w:rPr>
                <w:sz w:val="23"/>
                <w:szCs w:val="23"/>
              </w:rPr>
              <w:t>479</w:t>
            </w:r>
          </w:p>
        </w:tc>
      </w:tr>
    </w:tbl>
    <w:p w14:paraId="51C2095A" w14:textId="1A7E9D66" w:rsidR="000D198A" w:rsidRPr="004B7ACA" w:rsidRDefault="000D198A" w:rsidP="0076632F">
      <w:pPr>
        <w:pStyle w:val="Rubrik2"/>
      </w:pPr>
      <w:r w:rsidRPr="004B7ACA">
        <w:t>Exploateringar</w:t>
      </w:r>
    </w:p>
    <w:p w14:paraId="536DDF04" w14:textId="001CA7E1" w:rsidR="001E2403" w:rsidRPr="00084E56" w:rsidRDefault="000901EE" w:rsidP="001E2403">
      <w:pPr>
        <w:rPr>
          <w:rFonts w:ascii="Times New Roman" w:hAnsi="Times New Roman" w:cs="Times New Roman"/>
          <w:sz w:val="24"/>
        </w:rPr>
      </w:pPr>
      <w:r w:rsidRPr="00C53DA9">
        <w:rPr>
          <w:rFonts w:ascii="Times New Roman" w:hAnsi="Times New Roman" w:cs="Times New Roman"/>
          <w:sz w:val="24"/>
        </w:rPr>
        <w:t xml:space="preserve">En analys av kommande projekt och tidplaner har gjorts och bedömningen är att kostnadsprognosen från maj är 140 mkr, vilket är 20 mkr över budget. Det beror på att två stora projekt är i genomförandefas, Järnbrott och </w:t>
      </w:r>
      <w:proofErr w:type="spellStart"/>
      <w:r w:rsidRPr="00C53DA9">
        <w:rPr>
          <w:rFonts w:ascii="Times New Roman" w:hAnsi="Times New Roman" w:cs="Times New Roman"/>
          <w:sz w:val="24"/>
        </w:rPr>
        <w:t>Skra</w:t>
      </w:r>
      <w:proofErr w:type="spellEnd"/>
      <w:r w:rsidRPr="00C53DA9">
        <w:rPr>
          <w:rFonts w:ascii="Times New Roman" w:hAnsi="Times New Roman" w:cs="Times New Roman"/>
          <w:sz w:val="24"/>
        </w:rPr>
        <w:t xml:space="preserve"> bro och att en återhämtning sker efter lågt kostnadsutfall under 2022. </w:t>
      </w:r>
    </w:p>
    <w:tbl>
      <w:tblPr>
        <w:tblStyle w:val="Tabellrutnt"/>
        <w:tblW w:w="0" w:type="auto"/>
        <w:tblLook w:val="04A0" w:firstRow="1" w:lastRow="0" w:firstColumn="1" w:lastColumn="0" w:noHBand="0" w:noVBand="1"/>
      </w:tblPr>
      <w:tblGrid>
        <w:gridCol w:w="2072"/>
        <w:gridCol w:w="1954"/>
        <w:gridCol w:w="1978"/>
        <w:gridCol w:w="1922"/>
      </w:tblGrid>
      <w:tr w:rsidR="001E2403" w14:paraId="12C17D4A" w14:textId="77777777" w:rsidTr="0076632F">
        <w:trPr>
          <w:cnfStyle w:val="100000000000" w:firstRow="1" w:lastRow="0" w:firstColumn="0" w:lastColumn="0" w:oddVBand="0" w:evenVBand="0" w:oddHBand="0" w:evenHBand="0" w:firstRowFirstColumn="0" w:firstRowLastColumn="0" w:lastRowFirstColumn="0" w:lastRowLastColumn="0"/>
        </w:trPr>
        <w:tc>
          <w:tcPr>
            <w:tcW w:w="2072" w:type="dxa"/>
          </w:tcPr>
          <w:p w14:paraId="4D127453" w14:textId="0C67142D" w:rsidR="001E2403" w:rsidRDefault="00D648E3" w:rsidP="00622559">
            <w:pPr>
              <w:rPr>
                <w:sz w:val="23"/>
                <w:szCs w:val="23"/>
              </w:rPr>
            </w:pPr>
            <w:r>
              <w:rPr>
                <w:sz w:val="23"/>
                <w:szCs w:val="23"/>
              </w:rPr>
              <w:lastRenderedPageBreak/>
              <w:t>Mkr</w:t>
            </w:r>
          </w:p>
        </w:tc>
        <w:tc>
          <w:tcPr>
            <w:tcW w:w="1954" w:type="dxa"/>
          </w:tcPr>
          <w:p w14:paraId="5805667F" w14:textId="77777777" w:rsidR="001E2403" w:rsidRDefault="001E2403" w:rsidP="00622559">
            <w:pPr>
              <w:rPr>
                <w:sz w:val="23"/>
                <w:szCs w:val="23"/>
              </w:rPr>
            </w:pPr>
            <w:r>
              <w:rPr>
                <w:sz w:val="23"/>
                <w:szCs w:val="23"/>
              </w:rPr>
              <w:t>Budget</w:t>
            </w:r>
          </w:p>
        </w:tc>
        <w:tc>
          <w:tcPr>
            <w:tcW w:w="1978" w:type="dxa"/>
          </w:tcPr>
          <w:p w14:paraId="623A07E0" w14:textId="77777777" w:rsidR="001E2403" w:rsidRDefault="001E2403" w:rsidP="00622559">
            <w:pPr>
              <w:rPr>
                <w:sz w:val="23"/>
                <w:szCs w:val="23"/>
              </w:rPr>
            </w:pPr>
            <w:r>
              <w:rPr>
                <w:sz w:val="23"/>
                <w:szCs w:val="23"/>
              </w:rPr>
              <w:t>Prognos</w:t>
            </w:r>
          </w:p>
        </w:tc>
        <w:tc>
          <w:tcPr>
            <w:tcW w:w="1922" w:type="dxa"/>
          </w:tcPr>
          <w:p w14:paraId="674D123C" w14:textId="77777777" w:rsidR="001E2403" w:rsidRDefault="001E2403" w:rsidP="00622559">
            <w:pPr>
              <w:rPr>
                <w:sz w:val="23"/>
                <w:szCs w:val="23"/>
              </w:rPr>
            </w:pPr>
            <w:r>
              <w:rPr>
                <w:sz w:val="23"/>
                <w:szCs w:val="23"/>
              </w:rPr>
              <w:t>Utfall</w:t>
            </w:r>
          </w:p>
        </w:tc>
      </w:tr>
      <w:tr w:rsidR="001E2403" w14:paraId="59477D62" w14:textId="77777777" w:rsidTr="0076632F">
        <w:tc>
          <w:tcPr>
            <w:tcW w:w="2072" w:type="dxa"/>
          </w:tcPr>
          <w:p w14:paraId="23F02C2B" w14:textId="77777777" w:rsidR="001E2403" w:rsidRDefault="001E2403" w:rsidP="00622559">
            <w:pPr>
              <w:rPr>
                <w:sz w:val="23"/>
                <w:szCs w:val="23"/>
              </w:rPr>
            </w:pPr>
            <w:r>
              <w:rPr>
                <w:sz w:val="23"/>
                <w:szCs w:val="23"/>
              </w:rPr>
              <w:t>Investeringar</w:t>
            </w:r>
          </w:p>
        </w:tc>
        <w:tc>
          <w:tcPr>
            <w:tcW w:w="1954" w:type="dxa"/>
          </w:tcPr>
          <w:p w14:paraId="4FDB2E82" w14:textId="260B9779" w:rsidR="001E2403" w:rsidRDefault="0076632F" w:rsidP="00622559">
            <w:pPr>
              <w:rPr>
                <w:sz w:val="23"/>
                <w:szCs w:val="23"/>
              </w:rPr>
            </w:pPr>
            <w:r>
              <w:rPr>
                <w:sz w:val="23"/>
                <w:szCs w:val="23"/>
              </w:rPr>
              <w:t>120</w:t>
            </w:r>
          </w:p>
        </w:tc>
        <w:tc>
          <w:tcPr>
            <w:tcW w:w="1978" w:type="dxa"/>
          </w:tcPr>
          <w:p w14:paraId="2694169B" w14:textId="4A32FE2D" w:rsidR="001E2403" w:rsidRDefault="0076632F" w:rsidP="00622559">
            <w:pPr>
              <w:rPr>
                <w:sz w:val="23"/>
                <w:szCs w:val="23"/>
              </w:rPr>
            </w:pPr>
            <w:r>
              <w:rPr>
                <w:sz w:val="23"/>
                <w:szCs w:val="23"/>
              </w:rPr>
              <w:t>140</w:t>
            </w:r>
          </w:p>
        </w:tc>
        <w:tc>
          <w:tcPr>
            <w:tcW w:w="1922" w:type="dxa"/>
          </w:tcPr>
          <w:p w14:paraId="1A3408EF" w14:textId="64806E2F" w:rsidR="001E2403" w:rsidRDefault="004B7ACA" w:rsidP="00622559">
            <w:pPr>
              <w:rPr>
                <w:sz w:val="23"/>
                <w:szCs w:val="23"/>
              </w:rPr>
            </w:pPr>
            <w:r>
              <w:rPr>
                <w:sz w:val="23"/>
                <w:szCs w:val="23"/>
              </w:rPr>
              <w:t>53</w:t>
            </w:r>
          </w:p>
        </w:tc>
      </w:tr>
    </w:tbl>
    <w:p w14:paraId="4B025281" w14:textId="77777777" w:rsidR="0076632F" w:rsidRDefault="0076632F" w:rsidP="0076632F">
      <w:pPr>
        <w:pStyle w:val="Rubrik2"/>
        <w:rPr>
          <w:bCs/>
          <w:szCs w:val="27"/>
        </w:rPr>
      </w:pPr>
      <w:r w:rsidRPr="0076632F">
        <w:rPr>
          <w:bCs/>
          <w:szCs w:val="27"/>
        </w:rPr>
        <w:t>Skattefinansierad</w:t>
      </w:r>
      <w:r>
        <w:rPr>
          <w:bCs/>
          <w:szCs w:val="27"/>
        </w:rPr>
        <w:t>e</w:t>
      </w:r>
      <w:r w:rsidRPr="0076632F">
        <w:rPr>
          <w:bCs/>
          <w:szCs w:val="27"/>
        </w:rPr>
        <w:t xml:space="preserve"> skyfallsinvesteringar</w:t>
      </w:r>
    </w:p>
    <w:p w14:paraId="7F777213" w14:textId="5689598F" w:rsidR="0076632F" w:rsidRPr="004B7ACA" w:rsidRDefault="004B7ACA" w:rsidP="0076632F">
      <w:pPr>
        <w:rPr>
          <w:rFonts w:ascii="Times New Roman" w:hAnsi="Times New Roman" w:cs="Times New Roman"/>
          <w:sz w:val="24"/>
        </w:rPr>
      </w:pPr>
      <w:r w:rsidRPr="00F138F5">
        <w:rPr>
          <w:rFonts w:ascii="Times New Roman" w:hAnsi="Times New Roman" w:cs="Times New Roman"/>
          <w:sz w:val="24"/>
        </w:rPr>
        <w:t>Prognosen för helåret 2023 är på 12 mnkr. Ett stort projekt, Fjärdingsplan, pågår och upphandling är gjord. Flera utredningar pågår. </w:t>
      </w:r>
    </w:p>
    <w:tbl>
      <w:tblPr>
        <w:tblStyle w:val="Tabellrutnt"/>
        <w:tblW w:w="0" w:type="auto"/>
        <w:tblLook w:val="04A0" w:firstRow="1" w:lastRow="0" w:firstColumn="1" w:lastColumn="0" w:noHBand="0" w:noVBand="1"/>
      </w:tblPr>
      <w:tblGrid>
        <w:gridCol w:w="2072"/>
        <w:gridCol w:w="1954"/>
        <w:gridCol w:w="1978"/>
        <w:gridCol w:w="1922"/>
      </w:tblGrid>
      <w:tr w:rsidR="0076632F" w14:paraId="71ADC1D9" w14:textId="77777777" w:rsidTr="00EC13E3">
        <w:trPr>
          <w:cnfStyle w:val="100000000000" w:firstRow="1" w:lastRow="0" w:firstColumn="0" w:lastColumn="0" w:oddVBand="0" w:evenVBand="0" w:oddHBand="0" w:evenHBand="0" w:firstRowFirstColumn="0" w:firstRowLastColumn="0" w:lastRowFirstColumn="0" w:lastRowLastColumn="0"/>
        </w:trPr>
        <w:tc>
          <w:tcPr>
            <w:tcW w:w="2072" w:type="dxa"/>
          </w:tcPr>
          <w:p w14:paraId="44F02270" w14:textId="77777777" w:rsidR="0076632F" w:rsidRDefault="0076632F" w:rsidP="00EC13E3">
            <w:pPr>
              <w:rPr>
                <w:sz w:val="23"/>
                <w:szCs w:val="23"/>
              </w:rPr>
            </w:pPr>
            <w:r>
              <w:rPr>
                <w:sz w:val="23"/>
                <w:szCs w:val="23"/>
              </w:rPr>
              <w:t>Mkr</w:t>
            </w:r>
          </w:p>
        </w:tc>
        <w:tc>
          <w:tcPr>
            <w:tcW w:w="1954" w:type="dxa"/>
          </w:tcPr>
          <w:p w14:paraId="4B66024C" w14:textId="77777777" w:rsidR="0076632F" w:rsidRDefault="0076632F" w:rsidP="00EC13E3">
            <w:pPr>
              <w:rPr>
                <w:sz w:val="23"/>
                <w:szCs w:val="23"/>
              </w:rPr>
            </w:pPr>
            <w:r>
              <w:rPr>
                <w:sz w:val="23"/>
                <w:szCs w:val="23"/>
              </w:rPr>
              <w:t>Budget</w:t>
            </w:r>
          </w:p>
        </w:tc>
        <w:tc>
          <w:tcPr>
            <w:tcW w:w="1978" w:type="dxa"/>
          </w:tcPr>
          <w:p w14:paraId="2372EEC2" w14:textId="77777777" w:rsidR="0076632F" w:rsidRDefault="0076632F" w:rsidP="00EC13E3">
            <w:pPr>
              <w:rPr>
                <w:sz w:val="23"/>
                <w:szCs w:val="23"/>
              </w:rPr>
            </w:pPr>
            <w:r>
              <w:rPr>
                <w:sz w:val="23"/>
                <w:szCs w:val="23"/>
              </w:rPr>
              <w:t>Prognos</w:t>
            </w:r>
          </w:p>
        </w:tc>
        <w:tc>
          <w:tcPr>
            <w:tcW w:w="1922" w:type="dxa"/>
          </w:tcPr>
          <w:p w14:paraId="0B3E5774" w14:textId="77777777" w:rsidR="0076632F" w:rsidRDefault="0076632F" w:rsidP="00EC13E3">
            <w:pPr>
              <w:rPr>
                <w:sz w:val="23"/>
                <w:szCs w:val="23"/>
              </w:rPr>
            </w:pPr>
            <w:r>
              <w:rPr>
                <w:sz w:val="23"/>
                <w:szCs w:val="23"/>
              </w:rPr>
              <w:t>Utfall</w:t>
            </w:r>
          </w:p>
        </w:tc>
      </w:tr>
      <w:tr w:rsidR="0076632F" w14:paraId="5E209BC2" w14:textId="77777777" w:rsidTr="00EC13E3">
        <w:tc>
          <w:tcPr>
            <w:tcW w:w="2072" w:type="dxa"/>
          </w:tcPr>
          <w:p w14:paraId="31F29154" w14:textId="77777777" w:rsidR="0076632F" w:rsidRDefault="0076632F" w:rsidP="00EC13E3">
            <w:pPr>
              <w:rPr>
                <w:sz w:val="23"/>
                <w:szCs w:val="23"/>
              </w:rPr>
            </w:pPr>
            <w:r>
              <w:rPr>
                <w:sz w:val="23"/>
                <w:szCs w:val="23"/>
              </w:rPr>
              <w:t>Investeringar</w:t>
            </w:r>
          </w:p>
        </w:tc>
        <w:tc>
          <w:tcPr>
            <w:tcW w:w="1954" w:type="dxa"/>
          </w:tcPr>
          <w:p w14:paraId="41BE01C8" w14:textId="65B09D4A" w:rsidR="0076632F" w:rsidRDefault="0076632F" w:rsidP="00EC13E3">
            <w:pPr>
              <w:rPr>
                <w:sz w:val="23"/>
                <w:szCs w:val="23"/>
              </w:rPr>
            </w:pPr>
            <w:r>
              <w:rPr>
                <w:sz w:val="23"/>
                <w:szCs w:val="23"/>
              </w:rPr>
              <w:t>12</w:t>
            </w:r>
          </w:p>
        </w:tc>
        <w:tc>
          <w:tcPr>
            <w:tcW w:w="1978" w:type="dxa"/>
          </w:tcPr>
          <w:p w14:paraId="31572D53" w14:textId="00945093" w:rsidR="0076632F" w:rsidRDefault="004B7ACA" w:rsidP="00EC13E3">
            <w:pPr>
              <w:rPr>
                <w:sz w:val="23"/>
                <w:szCs w:val="23"/>
              </w:rPr>
            </w:pPr>
            <w:r>
              <w:rPr>
                <w:sz w:val="23"/>
                <w:szCs w:val="23"/>
              </w:rPr>
              <w:t>12</w:t>
            </w:r>
          </w:p>
        </w:tc>
        <w:tc>
          <w:tcPr>
            <w:tcW w:w="1922" w:type="dxa"/>
          </w:tcPr>
          <w:p w14:paraId="7872908E" w14:textId="2BBFE54A" w:rsidR="0076632F" w:rsidRDefault="004B7ACA" w:rsidP="00EC13E3">
            <w:pPr>
              <w:rPr>
                <w:sz w:val="23"/>
                <w:szCs w:val="23"/>
              </w:rPr>
            </w:pPr>
            <w:r>
              <w:rPr>
                <w:sz w:val="23"/>
                <w:szCs w:val="23"/>
              </w:rPr>
              <w:t>10</w:t>
            </w:r>
          </w:p>
        </w:tc>
      </w:tr>
    </w:tbl>
    <w:p w14:paraId="40A51EB9" w14:textId="2B940C7C" w:rsidR="0076632F" w:rsidRDefault="0076632F" w:rsidP="00D70308">
      <w:pPr>
        <w:pStyle w:val="Rubrik2"/>
        <w:rPr>
          <w:bCs/>
          <w:szCs w:val="27"/>
        </w:rPr>
      </w:pPr>
      <w:r w:rsidRPr="0076632F">
        <w:rPr>
          <w:bCs/>
          <w:szCs w:val="27"/>
        </w:rPr>
        <w:t>Tekniskt vatten</w:t>
      </w:r>
    </w:p>
    <w:p w14:paraId="16753A97" w14:textId="6B45B8ED" w:rsidR="0076632F" w:rsidRPr="000901EE" w:rsidRDefault="000901EE" w:rsidP="0076632F">
      <w:pPr>
        <w:rPr>
          <w:rFonts w:ascii="Times New Roman" w:hAnsi="Times New Roman" w:cs="Times New Roman"/>
          <w:sz w:val="24"/>
        </w:rPr>
      </w:pPr>
      <w:r w:rsidRPr="00C53DA9">
        <w:rPr>
          <w:rFonts w:ascii="Times New Roman" w:hAnsi="Times New Roman" w:cs="Times New Roman"/>
          <w:sz w:val="24"/>
        </w:rPr>
        <w:t>Genomförande av projektet har pågått intensivt under hela sommaren och fortsätter enligt plan.</w:t>
      </w:r>
    </w:p>
    <w:tbl>
      <w:tblPr>
        <w:tblStyle w:val="Tabellrutnt"/>
        <w:tblW w:w="0" w:type="auto"/>
        <w:tblLook w:val="04A0" w:firstRow="1" w:lastRow="0" w:firstColumn="1" w:lastColumn="0" w:noHBand="0" w:noVBand="1"/>
      </w:tblPr>
      <w:tblGrid>
        <w:gridCol w:w="2072"/>
        <w:gridCol w:w="1954"/>
        <w:gridCol w:w="1978"/>
        <w:gridCol w:w="1922"/>
      </w:tblGrid>
      <w:tr w:rsidR="0076632F" w14:paraId="69A18FE7" w14:textId="77777777" w:rsidTr="00EC13E3">
        <w:trPr>
          <w:cnfStyle w:val="100000000000" w:firstRow="1" w:lastRow="0" w:firstColumn="0" w:lastColumn="0" w:oddVBand="0" w:evenVBand="0" w:oddHBand="0" w:evenHBand="0" w:firstRowFirstColumn="0" w:firstRowLastColumn="0" w:lastRowFirstColumn="0" w:lastRowLastColumn="0"/>
        </w:trPr>
        <w:tc>
          <w:tcPr>
            <w:tcW w:w="2072" w:type="dxa"/>
          </w:tcPr>
          <w:p w14:paraId="5E805840" w14:textId="77777777" w:rsidR="0076632F" w:rsidRDefault="0076632F" w:rsidP="00EC13E3">
            <w:pPr>
              <w:rPr>
                <w:sz w:val="23"/>
                <w:szCs w:val="23"/>
              </w:rPr>
            </w:pPr>
            <w:r>
              <w:rPr>
                <w:sz w:val="23"/>
                <w:szCs w:val="23"/>
              </w:rPr>
              <w:t>Mkr</w:t>
            </w:r>
          </w:p>
        </w:tc>
        <w:tc>
          <w:tcPr>
            <w:tcW w:w="1954" w:type="dxa"/>
          </w:tcPr>
          <w:p w14:paraId="7CC668B6" w14:textId="77777777" w:rsidR="0076632F" w:rsidRDefault="0076632F" w:rsidP="00EC13E3">
            <w:pPr>
              <w:rPr>
                <w:sz w:val="23"/>
                <w:szCs w:val="23"/>
              </w:rPr>
            </w:pPr>
            <w:r>
              <w:rPr>
                <w:sz w:val="23"/>
                <w:szCs w:val="23"/>
              </w:rPr>
              <w:t>Budget</w:t>
            </w:r>
          </w:p>
        </w:tc>
        <w:tc>
          <w:tcPr>
            <w:tcW w:w="1978" w:type="dxa"/>
          </w:tcPr>
          <w:p w14:paraId="62AC09AC" w14:textId="77777777" w:rsidR="0076632F" w:rsidRDefault="0076632F" w:rsidP="00EC13E3">
            <w:pPr>
              <w:rPr>
                <w:sz w:val="23"/>
                <w:szCs w:val="23"/>
              </w:rPr>
            </w:pPr>
            <w:r>
              <w:rPr>
                <w:sz w:val="23"/>
                <w:szCs w:val="23"/>
              </w:rPr>
              <w:t>Prognos</w:t>
            </w:r>
          </w:p>
        </w:tc>
        <w:tc>
          <w:tcPr>
            <w:tcW w:w="1922" w:type="dxa"/>
          </w:tcPr>
          <w:p w14:paraId="7CFBF98D" w14:textId="77777777" w:rsidR="0076632F" w:rsidRDefault="0076632F" w:rsidP="00EC13E3">
            <w:pPr>
              <w:rPr>
                <w:sz w:val="23"/>
                <w:szCs w:val="23"/>
              </w:rPr>
            </w:pPr>
            <w:r>
              <w:rPr>
                <w:sz w:val="23"/>
                <w:szCs w:val="23"/>
              </w:rPr>
              <w:t>Utfall</w:t>
            </w:r>
          </w:p>
        </w:tc>
      </w:tr>
      <w:tr w:rsidR="0076632F" w14:paraId="7F513AB4" w14:textId="77777777" w:rsidTr="00EC13E3">
        <w:tc>
          <w:tcPr>
            <w:tcW w:w="2072" w:type="dxa"/>
          </w:tcPr>
          <w:p w14:paraId="761A9085" w14:textId="77777777" w:rsidR="0076632F" w:rsidRDefault="0076632F" w:rsidP="00EC13E3">
            <w:pPr>
              <w:rPr>
                <w:sz w:val="23"/>
                <w:szCs w:val="23"/>
              </w:rPr>
            </w:pPr>
            <w:r>
              <w:rPr>
                <w:sz w:val="23"/>
                <w:szCs w:val="23"/>
              </w:rPr>
              <w:t>Investeringar</w:t>
            </w:r>
          </w:p>
        </w:tc>
        <w:tc>
          <w:tcPr>
            <w:tcW w:w="1954" w:type="dxa"/>
          </w:tcPr>
          <w:p w14:paraId="742724F7" w14:textId="3DE82FA5" w:rsidR="0076632F" w:rsidRDefault="0076632F" w:rsidP="00EC13E3">
            <w:pPr>
              <w:rPr>
                <w:sz w:val="23"/>
                <w:szCs w:val="23"/>
              </w:rPr>
            </w:pPr>
            <w:r>
              <w:rPr>
                <w:sz w:val="23"/>
                <w:szCs w:val="23"/>
              </w:rPr>
              <w:t>250</w:t>
            </w:r>
          </w:p>
        </w:tc>
        <w:tc>
          <w:tcPr>
            <w:tcW w:w="1978" w:type="dxa"/>
          </w:tcPr>
          <w:p w14:paraId="1CC2123E" w14:textId="2E021576" w:rsidR="0076632F" w:rsidRDefault="0076632F" w:rsidP="00EC13E3">
            <w:pPr>
              <w:rPr>
                <w:sz w:val="23"/>
                <w:szCs w:val="23"/>
              </w:rPr>
            </w:pPr>
            <w:r>
              <w:rPr>
                <w:sz w:val="23"/>
                <w:szCs w:val="23"/>
              </w:rPr>
              <w:t>250</w:t>
            </w:r>
          </w:p>
        </w:tc>
        <w:tc>
          <w:tcPr>
            <w:tcW w:w="1922" w:type="dxa"/>
          </w:tcPr>
          <w:p w14:paraId="5C428766" w14:textId="7EB04754" w:rsidR="0076632F" w:rsidRDefault="004B7ACA" w:rsidP="00EC13E3">
            <w:pPr>
              <w:rPr>
                <w:sz w:val="23"/>
                <w:szCs w:val="23"/>
              </w:rPr>
            </w:pPr>
            <w:r>
              <w:rPr>
                <w:sz w:val="23"/>
                <w:szCs w:val="23"/>
              </w:rPr>
              <w:t>85</w:t>
            </w:r>
          </w:p>
        </w:tc>
      </w:tr>
    </w:tbl>
    <w:p w14:paraId="28B674D3" w14:textId="37AE9C0B" w:rsidR="00D70308" w:rsidRDefault="00D70308" w:rsidP="00D70308">
      <w:pPr>
        <w:pStyle w:val="Rubrik2"/>
      </w:pPr>
      <w:r>
        <w:t>Förvaltningens bedömning</w:t>
      </w:r>
    </w:p>
    <w:p w14:paraId="7AAC8616" w14:textId="73A84697" w:rsidR="00D7172E" w:rsidRDefault="000228C1" w:rsidP="00D7172E">
      <w:pPr>
        <w:rPr>
          <w:sz w:val="24"/>
        </w:rPr>
      </w:pPr>
      <w:r>
        <w:rPr>
          <w:sz w:val="24"/>
        </w:rPr>
        <w:t>Förvaltningen arbetar kontinuerligt med analys av de båda kollektivens förväntade utfall.</w:t>
      </w:r>
      <w:r w:rsidR="00D90ACD">
        <w:rPr>
          <w:sz w:val="24"/>
        </w:rPr>
        <w:t xml:space="preserve"> En förnyad prognos </w:t>
      </w:r>
      <w:r w:rsidR="003F2B9E">
        <w:rPr>
          <w:sz w:val="24"/>
        </w:rPr>
        <w:t xml:space="preserve">över driftverksamheten </w:t>
      </w:r>
      <w:r w:rsidR="00D90ACD">
        <w:rPr>
          <w:sz w:val="24"/>
        </w:rPr>
        <w:t xml:space="preserve">kommer att lämnas i samband med </w:t>
      </w:r>
      <w:proofErr w:type="gramStart"/>
      <w:r w:rsidR="00AA2512">
        <w:rPr>
          <w:sz w:val="24"/>
          <w:szCs w:val="28"/>
        </w:rPr>
        <w:t>delårsrapport augusti</w:t>
      </w:r>
      <w:proofErr w:type="gramEnd"/>
      <w:r w:rsidR="00AA2512">
        <w:rPr>
          <w:sz w:val="24"/>
        </w:rPr>
        <w:t xml:space="preserve"> </w:t>
      </w:r>
      <w:r w:rsidR="00D90ACD">
        <w:rPr>
          <w:sz w:val="24"/>
        </w:rPr>
        <w:t xml:space="preserve">och presenteras för nämnden i </w:t>
      </w:r>
      <w:r w:rsidR="00AA2512">
        <w:rPr>
          <w:sz w:val="24"/>
        </w:rPr>
        <w:t>september</w:t>
      </w:r>
      <w:r w:rsidR="00D90ACD">
        <w:rPr>
          <w:sz w:val="24"/>
        </w:rPr>
        <w:t>.</w:t>
      </w:r>
    </w:p>
    <w:p w14:paraId="47A0E61D" w14:textId="77777777" w:rsidR="00334345" w:rsidRPr="00334345" w:rsidRDefault="00334345" w:rsidP="00334345">
      <w:pPr>
        <w:pStyle w:val="Rubrik2"/>
      </w:pPr>
      <w:r w:rsidRPr="00334345">
        <w:t>Bedömning ur ekonomisk dimension</w:t>
      </w:r>
    </w:p>
    <w:p w14:paraId="736E1D3F" w14:textId="5F21B33D" w:rsidR="00D90ACD" w:rsidRPr="00AB501E" w:rsidRDefault="00D90ACD" w:rsidP="00D90ACD">
      <w:pPr>
        <w:rPr>
          <w:rFonts w:eastAsiaTheme="majorEastAsia"/>
          <w:sz w:val="24"/>
        </w:rPr>
      </w:pPr>
      <w:r w:rsidRPr="00AB395F">
        <w:rPr>
          <w:rFonts w:eastAsiaTheme="majorEastAsia"/>
          <w:sz w:val="24"/>
        </w:rPr>
        <w:t>VA-verksamheten, Avfallsverksamheten och Återbruket bedöms i aktuell rapport följa tidigare rapportera</w:t>
      </w:r>
      <w:r>
        <w:rPr>
          <w:rFonts w:eastAsiaTheme="majorEastAsia"/>
          <w:sz w:val="24"/>
        </w:rPr>
        <w:t>d</w:t>
      </w:r>
      <w:r w:rsidRPr="00AB395F">
        <w:rPr>
          <w:rFonts w:eastAsiaTheme="majorEastAsia"/>
          <w:sz w:val="24"/>
        </w:rPr>
        <w:t xml:space="preserve"> </w:t>
      </w:r>
      <w:r>
        <w:rPr>
          <w:rFonts w:eastAsiaTheme="majorEastAsia"/>
          <w:sz w:val="24"/>
        </w:rPr>
        <w:t>prognos</w:t>
      </w:r>
      <w:r w:rsidRPr="00AB395F">
        <w:rPr>
          <w:rFonts w:eastAsiaTheme="majorEastAsia"/>
          <w:sz w:val="24"/>
        </w:rPr>
        <w:t xml:space="preserve"> för helåret.</w:t>
      </w:r>
    </w:p>
    <w:p w14:paraId="1F89ED4F" w14:textId="77777777" w:rsidR="00334345" w:rsidRPr="00334345" w:rsidRDefault="00334345" w:rsidP="00334345">
      <w:pPr>
        <w:pStyle w:val="Rubrik2"/>
      </w:pPr>
      <w:r w:rsidRPr="00334345">
        <w:t>Bedömning ur ekologisk dimension</w:t>
      </w:r>
    </w:p>
    <w:p w14:paraId="0961A222" w14:textId="6B78ADF8" w:rsidR="00AB501E" w:rsidRPr="00334345" w:rsidRDefault="00AB501E" w:rsidP="00AB501E">
      <w:pPr>
        <w:rPr>
          <w:sz w:val="24"/>
        </w:rPr>
      </w:pPr>
      <w:r>
        <w:rPr>
          <w:rFonts w:eastAsiaTheme="majorEastAsia"/>
          <w:sz w:val="24"/>
        </w:rPr>
        <w:t>Förvaltningen har inte funnit några särskilda aspekter på frågan utifrån denna dimension.</w:t>
      </w:r>
    </w:p>
    <w:p w14:paraId="01959FD6" w14:textId="77777777" w:rsidR="00334345" w:rsidRPr="00334345" w:rsidRDefault="00334345" w:rsidP="00334345">
      <w:pPr>
        <w:pStyle w:val="Rubrik2"/>
      </w:pPr>
      <w:r w:rsidRPr="00334345">
        <w:t>Bedömning ur social dimension</w:t>
      </w:r>
    </w:p>
    <w:p w14:paraId="56E6E599" w14:textId="0DFAD98D" w:rsidR="00D773A5" w:rsidRDefault="00AB501E" w:rsidP="00AB501E">
      <w:pPr>
        <w:rPr>
          <w:rFonts w:eastAsiaTheme="majorEastAsia"/>
          <w:sz w:val="24"/>
        </w:rPr>
      </w:pPr>
      <w:r>
        <w:rPr>
          <w:rFonts w:eastAsiaTheme="majorEastAsia"/>
          <w:sz w:val="24"/>
        </w:rPr>
        <w:t>Förvaltningen har inte funnit några särskilda aspekter på frågan utifrån denna dimension.</w:t>
      </w:r>
    </w:p>
    <w:sectPr w:rsidR="00D773A5" w:rsidSect="00BA1320">
      <w:footerReference w:type="defaul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9DC7" w14:textId="77777777" w:rsidR="00B448C7" w:rsidRDefault="00B448C7" w:rsidP="00BF282B">
      <w:pPr>
        <w:spacing w:after="0" w:line="240" w:lineRule="auto"/>
      </w:pPr>
      <w:r>
        <w:separator/>
      </w:r>
    </w:p>
  </w:endnote>
  <w:endnote w:type="continuationSeparator" w:id="0">
    <w:p w14:paraId="7C171C05" w14:textId="77777777" w:rsidR="00B448C7" w:rsidRDefault="00B448C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992DB6" w:rsidRPr="009B4E2A" w14:paraId="152D7B8C"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76EC2D12" w14:textId="77777777" w:rsidR="00992DB6" w:rsidRPr="009B4E2A" w:rsidRDefault="00992DB6" w:rsidP="00DF152D">
              <w:pPr>
                <w:pStyle w:val="Sidfot"/>
              </w:pPr>
              <w:r>
                <w:t>Göteborgs Stad Kretslopp och vatten, tjänsteutlåtande</w:t>
              </w:r>
            </w:p>
          </w:tc>
        </w:sdtContent>
      </w:sdt>
      <w:tc>
        <w:tcPr>
          <w:tcW w:w="1917" w:type="dxa"/>
        </w:tcPr>
        <w:p w14:paraId="5D8A13FB" w14:textId="77777777" w:rsidR="00992DB6" w:rsidRPr="009B4E2A" w:rsidRDefault="00992DB6" w:rsidP="00DF152D">
          <w:pPr>
            <w:pStyle w:val="Sidfot"/>
            <w:jc w:val="right"/>
          </w:pPr>
          <w:r w:rsidRPr="009B4E2A">
            <w:fldChar w:fldCharType="begin"/>
          </w:r>
          <w:r w:rsidRPr="009B4E2A">
            <w:instrText xml:space="preserve"> PAGE   \* MERGEFORMAT </w:instrText>
          </w:r>
          <w:r w:rsidRPr="009B4E2A">
            <w:fldChar w:fldCharType="separate"/>
          </w:r>
          <w:r>
            <w:rPr>
              <w:noProof/>
            </w:rPr>
            <w:t>4</w:t>
          </w:r>
          <w:r w:rsidRPr="009B4E2A">
            <w:fldChar w:fldCharType="end"/>
          </w:r>
          <w:r w:rsidRPr="009B4E2A">
            <w:t xml:space="preserve"> (</w:t>
          </w:r>
          <w:r w:rsidR="0042227C">
            <w:fldChar w:fldCharType="begin"/>
          </w:r>
          <w:r w:rsidR="0042227C">
            <w:instrText xml:space="preserve"> NUMPAGES   \* M</w:instrText>
          </w:r>
          <w:r w:rsidR="0042227C">
            <w:instrText xml:space="preserve">ERGEFORMAT </w:instrText>
          </w:r>
          <w:r w:rsidR="0042227C">
            <w:fldChar w:fldCharType="separate"/>
          </w:r>
          <w:r>
            <w:rPr>
              <w:noProof/>
            </w:rPr>
            <w:t>4</w:t>
          </w:r>
          <w:r w:rsidR="0042227C">
            <w:rPr>
              <w:noProof/>
            </w:rPr>
            <w:fldChar w:fldCharType="end"/>
          </w:r>
          <w:r w:rsidRPr="009B4E2A">
            <w:t>)</w:t>
          </w:r>
        </w:p>
      </w:tc>
    </w:tr>
    <w:tr w:rsidR="00992DB6" w14:paraId="327DF322" w14:textId="77777777" w:rsidTr="00E92E25">
      <w:tc>
        <w:tcPr>
          <w:tcW w:w="3338" w:type="dxa"/>
        </w:tcPr>
        <w:p w14:paraId="0CE96AE7" w14:textId="77777777" w:rsidR="00992DB6" w:rsidRPr="00F66187" w:rsidRDefault="00992DB6" w:rsidP="00DF152D">
          <w:pPr>
            <w:pStyle w:val="Sidfot"/>
            <w:rPr>
              <w:rStyle w:val="Platshllartext"/>
              <w:color w:val="auto"/>
            </w:rPr>
          </w:pPr>
        </w:p>
      </w:tc>
      <w:tc>
        <w:tcPr>
          <w:tcW w:w="3817" w:type="dxa"/>
        </w:tcPr>
        <w:p w14:paraId="71B6C681" w14:textId="77777777" w:rsidR="00992DB6" w:rsidRDefault="00992DB6" w:rsidP="00DF152D">
          <w:pPr>
            <w:pStyle w:val="Sidfot"/>
          </w:pPr>
        </w:p>
      </w:tc>
      <w:tc>
        <w:tcPr>
          <w:tcW w:w="1917" w:type="dxa"/>
        </w:tcPr>
        <w:p w14:paraId="0BEA319C" w14:textId="77777777" w:rsidR="00992DB6" w:rsidRDefault="00992DB6" w:rsidP="00DF152D">
          <w:pPr>
            <w:pStyle w:val="Sidfot"/>
            <w:jc w:val="right"/>
          </w:pPr>
        </w:p>
      </w:tc>
    </w:tr>
    <w:tr w:rsidR="00992DB6" w14:paraId="7D395147" w14:textId="77777777" w:rsidTr="00E92E25">
      <w:tc>
        <w:tcPr>
          <w:tcW w:w="3338" w:type="dxa"/>
        </w:tcPr>
        <w:p w14:paraId="24E52171" w14:textId="77777777" w:rsidR="00992DB6" w:rsidRDefault="00992DB6" w:rsidP="00DF152D">
          <w:pPr>
            <w:pStyle w:val="Sidfot"/>
          </w:pPr>
        </w:p>
      </w:tc>
      <w:tc>
        <w:tcPr>
          <w:tcW w:w="3817" w:type="dxa"/>
        </w:tcPr>
        <w:p w14:paraId="0540A779" w14:textId="77777777" w:rsidR="00992DB6" w:rsidRDefault="00992DB6" w:rsidP="00DF152D">
          <w:pPr>
            <w:pStyle w:val="Sidfot"/>
          </w:pPr>
        </w:p>
      </w:tc>
      <w:tc>
        <w:tcPr>
          <w:tcW w:w="1917" w:type="dxa"/>
        </w:tcPr>
        <w:p w14:paraId="1C658202" w14:textId="77777777" w:rsidR="00992DB6" w:rsidRDefault="00992DB6" w:rsidP="00DF152D">
          <w:pPr>
            <w:pStyle w:val="Sidfot"/>
            <w:jc w:val="right"/>
          </w:pPr>
        </w:p>
      </w:tc>
    </w:tr>
  </w:tbl>
  <w:p w14:paraId="1AF006BC" w14:textId="77777777" w:rsidR="00992DB6" w:rsidRPr="00F66187" w:rsidRDefault="00992DB6">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992DB6" w:rsidRPr="009B4E2A" w14:paraId="370E26BC"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5E763CCF" w14:textId="77777777" w:rsidR="00992DB6" w:rsidRPr="009B4E2A" w:rsidRDefault="00992DB6" w:rsidP="00BD0663">
              <w:pPr>
                <w:pStyle w:val="Sidfot"/>
              </w:pPr>
              <w:r>
                <w:t>Göteborgs Stad Kretslopp och vatten, tjänsteutlåtande</w:t>
              </w:r>
            </w:p>
          </w:tc>
        </w:sdtContent>
      </w:sdt>
      <w:tc>
        <w:tcPr>
          <w:tcW w:w="1954" w:type="dxa"/>
        </w:tcPr>
        <w:p w14:paraId="7907B094" w14:textId="77777777" w:rsidR="00992DB6" w:rsidRPr="009B4E2A" w:rsidRDefault="00992DB6" w:rsidP="00BD0663">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sidR="0042227C">
            <w:fldChar w:fldCharType="begin"/>
          </w:r>
          <w:r w:rsidR="0042227C">
            <w:instrText xml:space="preserve"> NUMPAGES   \* MERGEFORMAT </w:instrText>
          </w:r>
          <w:r w:rsidR="0042227C">
            <w:fldChar w:fldCharType="separate"/>
          </w:r>
          <w:r>
            <w:rPr>
              <w:noProof/>
            </w:rPr>
            <w:t>4</w:t>
          </w:r>
          <w:r w:rsidR="0042227C">
            <w:rPr>
              <w:noProof/>
            </w:rPr>
            <w:fldChar w:fldCharType="end"/>
          </w:r>
          <w:r w:rsidRPr="009B4E2A">
            <w:t>)</w:t>
          </w:r>
        </w:p>
      </w:tc>
    </w:tr>
    <w:tr w:rsidR="00992DB6" w14:paraId="436BFC57" w14:textId="77777777" w:rsidTr="00FB3384">
      <w:tc>
        <w:tcPr>
          <w:tcW w:w="3319" w:type="dxa"/>
        </w:tcPr>
        <w:p w14:paraId="34F0D5A3" w14:textId="77777777" w:rsidR="00992DB6" w:rsidRPr="00F66187" w:rsidRDefault="00992DB6" w:rsidP="00BD0663">
          <w:pPr>
            <w:pStyle w:val="Sidfot"/>
            <w:rPr>
              <w:rStyle w:val="Platshllartext"/>
              <w:color w:val="auto"/>
            </w:rPr>
          </w:pPr>
        </w:p>
      </w:tc>
      <w:tc>
        <w:tcPr>
          <w:tcW w:w="3799" w:type="dxa"/>
        </w:tcPr>
        <w:p w14:paraId="164091CE" w14:textId="77777777" w:rsidR="00992DB6" w:rsidRDefault="00992DB6" w:rsidP="00BD0663">
          <w:pPr>
            <w:pStyle w:val="Sidfot"/>
          </w:pPr>
        </w:p>
      </w:tc>
      <w:tc>
        <w:tcPr>
          <w:tcW w:w="1954" w:type="dxa"/>
          <w:vMerge w:val="restart"/>
          <w:vAlign w:val="bottom"/>
        </w:tcPr>
        <w:p w14:paraId="4626392B" w14:textId="77777777" w:rsidR="00992DB6" w:rsidRDefault="00992DB6" w:rsidP="00FB3384">
          <w:pPr>
            <w:pStyle w:val="Sidfot"/>
            <w:jc w:val="right"/>
          </w:pPr>
        </w:p>
      </w:tc>
    </w:tr>
    <w:tr w:rsidR="00992DB6" w14:paraId="0CE1E3D1" w14:textId="77777777" w:rsidTr="00FB3384">
      <w:tc>
        <w:tcPr>
          <w:tcW w:w="3319" w:type="dxa"/>
        </w:tcPr>
        <w:p w14:paraId="20BC67A7" w14:textId="77777777" w:rsidR="00992DB6" w:rsidRDefault="00992DB6" w:rsidP="00BD0663">
          <w:pPr>
            <w:pStyle w:val="Sidfot"/>
          </w:pPr>
        </w:p>
      </w:tc>
      <w:tc>
        <w:tcPr>
          <w:tcW w:w="3799" w:type="dxa"/>
        </w:tcPr>
        <w:p w14:paraId="76E14788" w14:textId="77777777" w:rsidR="00992DB6" w:rsidRDefault="00992DB6" w:rsidP="00BD0663">
          <w:pPr>
            <w:pStyle w:val="Sidfot"/>
          </w:pPr>
        </w:p>
      </w:tc>
      <w:tc>
        <w:tcPr>
          <w:tcW w:w="1954" w:type="dxa"/>
          <w:vMerge/>
        </w:tcPr>
        <w:p w14:paraId="3B8232C1" w14:textId="77777777" w:rsidR="00992DB6" w:rsidRDefault="00992DB6" w:rsidP="00BD0663">
          <w:pPr>
            <w:pStyle w:val="Sidfot"/>
            <w:jc w:val="right"/>
          </w:pPr>
        </w:p>
      </w:tc>
    </w:tr>
  </w:tbl>
  <w:p w14:paraId="50ED8A43" w14:textId="77777777" w:rsidR="00992DB6" w:rsidRDefault="00992D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EA0F" w14:textId="77777777" w:rsidR="00B448C7" w:rsidRDefault="00B448C7" w:rsidP="00BF282B">
      <w:pPr>
        <w:spacing w:after="0" w:line="240" w:lineRule="auto"/>
      </w:pPr>
      <w:r>
        <w:separator/>
      </w:r>
    </w:p>
  </w:footnote>
  <w:footnote w:type="continuationSeparator" w:id="0">
    <w:p w14:paraId="459CB159" w14:textId="77777777" w:rsidR="00B448C7" w:rsidRDefault="00B448C7"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7AA7"/>
    <w:multiLevelType w:val="hybridMultilevel"/>
    <w:tmpl w:val="38A2EB64"/>
    <w:lvl w:ilvl="0" w:tplc="A68026A0">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782D4A"/>
    <w:multiLevelType w:val="hybridMultilevel"/>
    <w:tmpl w:val="C1D0E286"/>
    <w:lvl w:ilvl="0" w:tplc="B0E26C94">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930E8C"/>
    <w:multiLevelType w:val="hybridMultilevel"/>
    <w:tmpl w:val="F65A8856"/>
    <w:lvl w:ilvl="0" w:tplc="03148766">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317CC6"/>
    <w:multiLevelType w:val="hybridMultilevel"/>
    <w:tmpl w:val="0CB4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D625F2"/>
    <w:multiLevelType w:val="hybridMultilevel"/>
    <w:tmpl w:val="CC021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823EC2"/>
    <w:multiLevelType w:val="hybridMultilevel"/>
    <w:tmpl w:val="B6161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31430704">
    <w:abstractNumId w:val="6"/>
  </w:num>
  <w:num w:numId="2" w16cid:durableId="1146237852">
    <w:abstractNumId w:val="4"/>
  </w:num>
  <w:num w:numId="3" w16cid:durableId="1119565392">
    <w:abstractNumId w:val="0"/>
  </w:num>
  <w:num w:numId="4" w16cid:durableId="985548663">
    <w:abstractNumId w:val="3"/>
  </w:num>
  <w:num w:numId="5" w16cid:durableId="1395814704">
    <w:abstractNumId w:val="1"/>
  </w:num>
  <w:num w:numId="6" w16cid:durableId="96872653">
    <w:abstractNumId w:val="5"/>
  </w:num>
  <w:num w:numId="7" w16cid:durableId="111667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C05EE6"/>
    <w:rsid w:val="000037D3"/>
    <w:rsid w:val="000046E1"/>
    <w:rsid w:val="00006FBF"/>
    <w:rsid w:val="0000764B"/>
    <w:rsid w:val="00011E46"/>
    <w:rsid w:val="000228C1"/>
    <w:rsid w:val="00025AF9"/>
    <w:rsid w:val="00037E55"/>
    <w:rsid w:val="0005207D"/>
    <w:rsid w:val="00061D2F"/>
    <w:rsid w:val="00064D40"/>
    <w:rsid w:val="000707CC"/>
    <w:rsid w:val="0007473A"/>
    <w:rsid w:val="000901EE"/>
    <w:rsid w:val="0009473D"/>
    <w:rsid w:val="000A29EA"/>
    <w:rsid w:val="000B6E9A"/>
    <w:rsid w:val="000C68BA"/>
    <w:rsid w:val="000D198A"/>
    <w:rsid w:val="000F2B85"/>
    <w:rsid w:val="001038F0"/>
    <w:rsid w:val="00105EE5"/>
    <w:rsid w:val="001065DA"/>
    <w:rsid w:val="0011061F"/>
    <w:rsid w:val="0011381D"/>
    <w:rsid w:val="0012181D"/>
    <w:rsid w:val="0012305A"/>
    <w:rsid w:val="00142FEF"/>
    <w:rsid w:val="001514BD"/>
    <w:rsid w:val="00173F0C"/>
    <w:rsid w:val="00181B9A"/>
    <w:rsid w:val="001B7CF2"/>
    <w:rsid w:val="001C0659"/>
    <w:rsid w:val="001C2218"/>
    <w:rsid w:val="001D645F"/>
    <w:rsid w:val="001E15C0"/>
    <w:rsid w:val="001E2403"/>
    <w:rsid w:val="002356B4"/>
    <w:rsid w:val="00241F59"/>
    <w:rsid w:val="00243B2A"/>
    <w:rsid w:val="002455E1"/>
    <w:rsid w:val="00257F49"/>
    <w:rsid w:val="002863DD"/>
    <w:rsid w:val="002A1161"/>
    <w:rsid w:val="002C09FC"/>
    <w:rsid w:val="002C2AD9"/>
    <w:rsid w:val="002C3A8C"/>
    <w:rsid w:val="002C579D"/>
    <w:rsid w:val="002D0D4C"/>
    <w:rsid w:val="002E39EA"/>
    <w:rsid w:val="00313830"/>
    <w:rsid w:val="003145AB"/>
    <w:rsid w:val="003164EC"/>
    <w:rsid w:val="00332A7F"/>
    <w:rsid w:val="00334345"/>
    <w:rsid w:val="003413FA"/>
    <w:rsid w:val="00350FEF"/>
    <w:rsid w:val="00361EF2"/>
    <w:rsid w:val="00372CB4"/>
    <w:rsid w:val="003931C4"/>
    <w:rsid w:val="003966DC"/>
    <w:rsid w:val="003975B0"/>
    <w:rsid w:val="003A51C8"/>
    <w:rsid w:val="003B3E2C"/>
    <w:rsid w:val="003F2B9E"/>
    <w:rsid w:val="003F3709"/>
    <w:rsid w:val="00411FDD"/>
    <w:rsid w:val="00414E79"/>
    <w:rsid w:val="004215A9"/>
    <w:rsid w:val="0042227C"/>
    <w:rsid w:val="00440D30"/>
    <w:rsid w:val="0044409B"/>
    <w:rsid w:val="00461B68"/>
    <w:rsid w:val="00473C11"/>
    <w:rsid w:val="0047509A"/>
    <w:rsid w:val="004A5252"/>
    <w:rsid w:val="004B287C"/>
    <w:rsid w:val="004B7ACA"/>
    <w:rsid w:val="004C0571"/>
    <w:rsid w:val="004C1DCE"/>
    <w:rsid w:val="004C58C8"/>
    <w:rsid w:val="004C6FF4"/>
    <w:rsid w:val="004C78B0"/>
    <w:rsid w:val="004D78D9"/>
    <w:rsid w:val="004E14F2"/>
    <w:rsid w:val="004E51CE"/>
    <w:rsid w:val="00521790"/>
    <w:rsid w:val="00524B8B"/>
    <w:rsid w:val="0054099B"/>
    <w:rsid w:val="00541317"/>
    <w:rsid w:val="00542EDD"/>
    <w:rsid w:val="00555FCB"/>
    <w:rsid w:val="00563FB0"/>
    <w:rsid w:val="00564F3E"/>
    <w:rsid w:val="00570194"/>
    <w:rsid w:val="005729A0"/>
    <w:rsid w:val="00575145"/>
    <w:rsid w:val="00583842"/>
    <w:rsid w:val="00590E4B"/>
    <w:rsid w:val="00597ACB"/>
    <w:rsid w:val="005A1C6F"/>
    <w:rsid w:val="005C2968"/>
    <w:rsid w:val="005C2DCD"/>
    <w:rsid w:val="005D73D3"/>
    <w:rsid w:val="005E6622"/>
    <w:rsid w:val="005F5390"/>
    <w:rsid w:val="005F6240"/>
    <w:rsid w:val="006028F0"/>
    <w:rsid w:val="00603751"/>
    <w:rsid w:val="00613965"/>
    <w:rsid w:val="00642E0D"/>
    <w:rsid w:val="00646854"/>
    <w:rsid w:val="0065287C"/>
    <w:rsid w:val="00662D99"/>
    <w:rsid w:val="00664CD8"/>
    <w:rsid w:val="006720EA"/>
    <w:rsid w:val="00682AE5"/>
    <w:rsid w:val="00690A7F"/>
    <w:rsid w:val="00692E99"/>
    <w:rsid w:val="00696B88"/>
    <w:rsid w:val="006A0048"/>
    <w:rsid w:val="006A109B"/>
    <w:rsid w:val="006A4C85"/>
    <w:rsid w:val="006F0C83"/>
    <w:rsid w:val="00720B05"/>
    <w:rsid w:val="00721456"/>
    <w:rsid w:val="00757ADB"/>
    <w:rsid w:val="00761A54"/>
    <w:rsid w:val="0076632F"/>
    <w:rsid w:val="00766929"/>
    <w:rsid w:val="00770200"/>
    <w:rsid w:val="00781AC8"/>
    <w:rsid w:val="00787DCD"/>
    <w:rsid w:val="007A7A26"/>
    <w:rsid w:val="007D578C"/>
    <w:rsid w:val="007E234D"/>
    <w:rsid w:val="007E4588"/>
    <w:rsid w:val="007E6607"/>
    <w:rsid w:val="007F417F"/>
    <w:rsid w:val="00831E91"/>
    <w:rsid w:val="00836636"/>
    <w:rsid w:val="008547F2"/>
    <w:rsid w:val="008760F6"/>
    <w:rsid w:val="008801E8"/>
    <w:rsid w:val="00891019"/>
    <w:rsid w:val="0089693C"/>
    <w:rsid w:val="008A0B39"/>
    <w:rsid w:val="008B0468"/>
    <w:rsid w:val="008C5C9B"/>
    <w:rsid w:val="008C6E5E"/>
    <w:rsid w:val="009003DD"/>
    <w:rsid w:val="00904B76"/>
    <w:rsid w:val="00914296"/>
    <w:rsid w:val="00914328"/>
    <w:rsid w:val="00936F91"/>
    <w:rsid w:val="009433F3"/>
    <w:rsid w:val="00946C0E"/>
    <w:rsid w:val="0094712A"/>
    <w:rsid w:val="009511B7"/>
    <w:rsid w:val="00967B0A"/>
    <w:rsid w:val="00970412"/>
    <w:rsid w:val="00971BDC"/>
    <w:rsid w:val="00974D6D"/>
    <w:rsid w:val="00983E4F"/>
    <w:rsid w:val="00985ACB"/>
    <w:rsid w:val="00990524"/>
    <w:rsid w:val="00992DB6"/>
    <w:rsid w:val="009B4E2A"/>
    <w:rsid w:val="009D4D5C"/>
    <w:rsid w:val="009D6D90"/>
    <w:rsid w:val="00A03FE6"/>
    <w:rsid w:val="00A074B5"/>
    <w:rsid w:val="00A075FC"/>
    <w:rsid w:val="00A2790F"/>
    <w:rsid w:val="00A345C1"/>
    <w:rsid w:val="00A3668C"/>
    <w:rsid w:val="00A40BFD"/>
    <w:rsid w:val="00A47AD9"/>
    <w:rsid w:val="00A56E59"/>
    <w:rsid w:val="00A8112E"/>
    <w:rsid w:val="00A84F09"/>
    <w:rsid w:val="00A862DF"/>
    <w:rsid w:val="00AA0284"/>
    <w:rsid w:val="00AA2512"/>
    <w:rsid w:val="00AB395F"/>
    <w:rsid w:val="00AB4BDB"/>
    <w:rsid w:val="00AB501E"/>
    <w:rsid w:val="00AB76F9"/>
    <w:rsid w:val="00AC43D5"/>
    <w:rsid w:val="00AE1D74"/>
    <w:rsid w:val="00AE5147"/>
    <w:rsid w:val="00AE5F41"/>
    <w:rsid w:val="00AF5052"/>
    <w:rsid w:val="00B01FE9"/>
    <w:rsid w:val="00B039F3"/>
    <w:rsid w:val="00B353ED"/>
    <w:rsid w:val="00B368F5"/>
    <w:rsid w:val="00B448C7"/>
    <w:rsid w:val="00B449B9"/>
    <w:rsid w:val="00B456FF"/>
    <w:rsid w:val="00B572A4"/>
    <w:rsid w:val="00B63E0E"/>
    <w:rsid w:val="00B82CEB"/>
    <w:rsid w:val="00B83CC6"/>
    <w:rsid w:val="00B87258"/>
    <w:rsid w:val="00B90E08"/>
    <w:rsid w:val="00B93488"/>
    <w:rsid w:val="00BA1320"/>
    <w:rsid w:val="00BB15C6"/>
    <w:rsid w:val="00BB4783"/>
    <w:rsid w:val="00BB78F6"/>
    <w:rsid w:val="00BD0663"/>
    <w:rsid w:val="00BD2898"/>
    <w:rsid w:val="00BE710A"/>
    <w:rsid w:val="00BF282B"/>
    <w:rsid w:val="00BF5887"/>
    <w:rsid w:val="00C00CF2"/>
    <w:rsid w:val="00C0363D"/>
    <w:rsid w:val="00C05EE6"/>
    <w:rsid w:val="00C33D38"/>
    <w:rsid w:val="00C5585C"/>
    <w:rsid w:val="00C85A21"/>
    <w:rsid w:val="00C86723"/>
    <w:rsid w:val="00C9503A"/>
    <w:rsid w:val="00C96C1C"/>
    <w:rsid w:val="00CB06C5"/>
    <w:rsid w:val="00CC4FC6"/>
    <w:rsid w:val="00CD1648"/>
    <w:rsid w:val="00CD6335"/>
    <w:rsid w:val="00CF27EC"/>
    <w:rsid w:val="00D21D96"/>
    <w:rsid w:val="00D22966"/>
    <w:rsid w:val="00D43008"/>
    <w:rsid w:val="00D463B5"/>
    <w:rsid w:val="00D55088"/>
    <w:rsid w:val="00D55CBA"/>
    <w:rsid w:val="00D648E3"/>
    <w:rsid w:val="00D70308"/>
    <w:rsid w:val="00D7172E"/>
    <w:rsid w:val="00D773A5"/>
    <w:rsid w:val="00D90ACD"/>
    <w:rsid w:val="00DC59E4"/>
    <w:rsid w:val="00DC6E79"/>
    <w:rsid w:val="00DF152D"/>
    <w:rsid w:val="00E06548"/>
    <w:rsid w:val="00E06BD3"/>
    <w:rsid w:val="00E11731"/>
    <w:rsid w:val="00E11B7F"/>
    <w:rsid w:val="00E753A3"/>
    <w:rsid w:val="00E92E25"/>
    <w:rsid w:val="00EE15E4"/>
    <w:rsid w:val="00EF3656"/>
    <w:rsid w:val="00EF388D"/>
    <w:rsid w:val="00F04DA3"/>
    <w:rsid w:val="00F13C3F"/>
    <w:rsid w:val="00F4117C"/>
    <w:rsid w:val="00F57801"/>
    <w:rsid w:val="00F63D5E"/>
    <w:rsid w:val="00F66187"/>
    <w:rsid w:val="00F85D52"/>
    <w:rsid w:val="00FA0781"/>
    <w:rsid w:val="00FB3384"/>
    <w:rsid w:val="00FC5B0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F42DFEF"/>
  <w15:docId w15:val="{11ACBEEA-80D2-499D-8E56-40F9394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aliases w:val="abc"/>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Brdtext">
    <w:name w:val="Body Text"/>
    <w:basedOn w:val="Normal"/>
    <w:link w:val="BrdtextChar"/>
    <w:rsid w:val="00A40BFD"/>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A40BFD"/>
    <w:rPr>
      <w:rFonts w:ascii="Times New Roman" w:eastAsia="Times New Roman" w:hAnsi="Times New Roman" w:cs="Times New Roman"/>
      <w:lang w:eastAsia="sv-SE"/>
    </w:rPr>
  </w:style>
  <w:style w:type="paragraph" w:styleId="Liststycke">
    <w:name w:val="List Paragraph"/>
    <w:basedOn w:val="Normal"/>
    <w:uiPriority w:val="34"/>
    <w:qFormat/>
    <w:rsid w:val="002C579D"/>
    <w:pPr>
      <w:ind w:left="720"/>
      <w:contextualSpacing/>
    </w:pPr>
  </w:style>
  <w:style w:type="paragraph" w:customStyle="1" w:styleId="Default">
    <w:name w:val="Default"/>
    <w:rsid w:val="00BD2898"/>
    <w:pPr>
      <w:autoSpaceDE w:val="0"/>
      <w:autoSpaceDN w:val="0"/>
      <w:adjustRightInd w:val="0"/>
      <w:spacing w:after="0"/>
    </w:pPr>
    <w:rPr>
      <w:rFonts w:ascii="Times New Roman" w:hAnsi="Times New Roman" w:cs="Times New Roman"/>
      <w:color w:val="000000"/>
    </w:rPr>
  </w:style>
  <w:style w:type="paragraph" w:customStyle="1" w:styleId="Tabellcell">
    <w:name w:val="Tabellcell"/>
    <w:basedOn w:val="Normal"/>
    <w:link w:val="TabellcellChar"/>
    <w:qFormat/>
    <w:rsid w:val="0065287C"/>
    <w:pPr>
      <w:spacing w:before="60" w:after="60" w:line="240" w:lineRule="auto"/>
    </w:pPr>
    <w:rPr>
      <w:rFonts w:ascii="Arial" w:eastAsia="Times New Roman" w:hAnsi="Arial" w:cs="Arial"/>
      <w:sz w:val="18"/>
      <w:szCs w:val="18"/>
    </w:rPr>
  </w:style>
  <w:style w:type="character" w:customStyle="1" w:styleId="TabellcellChar">
    <w:name w:val="Tabellcell Char"/>
    <w:link w:val="Tabellcell"/>
    <w:rsid w:val="0065287C"/>
    <w:rPr>
      <w:rFonts w:ascii="Arial" w:eastAsia="Times New Roman" w:hAnsi="Arial" w:cs="Arial"/>
      <w:sz w:val="18"/>
      <w:szCs w:val="18"/>
    </w:rPr>
  </w:style>
  <w:style w:type="paragraph" w:styleId="Normalwebb">
    <w:name w:val="Normal (Web)"/>
    <w:basedOn w:val="Normal"/>
    <w:uiPriority w:val="99"/>
    <w:semiHidden/>
    <w:unhideWhenUsed/>
    <w:rsid w:val="0065287C"/>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6347">
      <w:bodyDiv w:val="1"/>
      <w:marLeft w:val="0"/>
      <w:marRight w:val="0"/>
      <w:marTop w:val="0"/>
      <w:marBottom w:val="0"/>
      <w:divBdr>
        <w:top w:val="none" w:sz="0" w:space="0" w:color="auto"/>
        <w:left w:val="none" w:sz="0" w:space="0" w:color="auto"/>
        <w:bottom w:val="none" w:sz="0" w:space="0" w:color="auto"/>
        <w:right w:val="none" w:sz="0" w:space="0" w:color="auto"/>
      </w:divBdr>
    </w:div>
    <w:div w:id="138616044">
      <w:bodyDiv w:val="1"/>
      <w:marLeft w:val="0"/>
      <w:marRight w:val="0"/>
      <w:marTop w:val="0"/>
      <w:marBottom w:val="0"/>
      <w:divBdr>
        <w:top w:val="none" w:sz="0" w:space="0" w:color="auto"/>
        <w:left w:val="none" w:sz="0" w:space="0" w:color="auto"/>
        <w:bottom w:val="none" w:sz="0" w:space="0" w:color="auto"/>
        <w:right w:val="none" w:sz="0" w:space="0" w:color="auto"/>
      </w:divBdr>
    </w:div>
    <w:div w:id="210965989">
      <w:bodyDiv w:val="1"/>
      <w:marLeft w:val="0"/>
      <w:marRight w:val="0"/>
      <w:marTop w:val="0"/>
      <w:marBottom w:val="0"/>
      <w:divBdr>
        <w:top w:val="none" w:sz="0" w:space="0" w:color="auto"/>
        <w:left w:val="none" w:sz="0" w:space="0" w:color="auto"/>
        <w:bottom w:val="none" w:sz="0" w:space="0" w:color="auto"/>
        <w:right w:val="none" w:sz="0" w:space="0" w:color="auto"/>
      </w:divBdr>
    </w:div>
    <w:div w:id="686565090">
      <w:bodyDiv w:val="1"/>
      <w:marLeft w:val="0"/>
      <w:marRight w:val="0"/>
      <w:marTop w:val="0"/>
      <w:marBottom w:val="0"/>
      <w:divBdr>
        <w:top w:val="none" w:sz="0" w:space="0" w:color="auto"/>
        <w:left w:val="none" w:sz="0" w:space="0" w:color="auto"/>
        <w:bottom w:val="none" w:sz="0" w:space="0" w:color="auto"/>
        <w:right w:val="none" w:sz="0" w:space="0" w:color="auto"/>
      </w:divBdr>
    </w:div>
    <w:div w:id="713577028">
      <w:bodyDiv w:val="1"/>
      <w:marLeft w:val="0"/>
      <w:marRight w:val="0"/>
      <w:marTop w:val="0"/>
      <w:marBottom w:val="0"/>
      <w:divBdr>
        <w:top w:val="none" w:sz="0" w:space="0" w:color="auto"/>
        <w:left w:val="none" w:sz="0" w:space="0" w:color="auto"/>
        <w:bottom w:val="none" w:sz="0" w:space="0" w:color="auto"/>
        <w:right w:val="none" w:sz="0" w:space="0" w:color="auto"/>
      </w:divBdr>
    </w:div>
    <w:div w:id="723677438">
      <w:bodyDiv w:val="1"/>
      <w:marLeft w:val="0"/>
      <w:marRight w:val="0"/>
      <w:marTop w:val="0"/>
      <w:marBottom w:val="0"/>
      <w:divBdr>
        <w:top w:val="none" w:sz="0" w:space="0" w:color="auto"/>
        <w:left w:val="none" w:sz="0" w:space="0" w:color="auto"/>
        <w:bottom w:val="none" w:sz="0" w:space="0" w:color="auto"/>
        <w:right w:val="none" w:sz="0" w:space="0" w:color="auto"/>
      </w:divBdr>
    </w:div>
    <w:div w:id="880483313">
      <w:bodyDiv w:val="1"/>
      <w:marLeft w:val="0"/>
      <w:marRight w:val="0"/>
      <w:marTop w:val="0"/>
      <w:marBottom w:val="0"/>
      <w:divBdr>
        <w:top w:val="none" w:sz="0" w:space="0" w:color="auto"/>
        <w:left w:val="none" w:sz="0" w:space="0" w:color="auto"/>
        <w:bottom w:val="none" w:sz="0" w:space="0" w:color="auto"/>
        <w:right w:val="none" w:sz="0" w:space="0" w:color="auto"/>
      </w:divBdr>
    </w:div>
    <w:div w:id="935601814">
      <w:bodyDiv w:val="1"/>
      <w:marLeft w:val="0"/>
      <w:marRight w:val="0"/>
      <w:marTop w:val="0"/>
      <w:marBottom w:val="0"/>
      <w:divBdr>
        <w:top w:val="none" w:sz="0" w:space="0" w:color="auto"/>
        <w:left w:val="none" w:sz="0" w:space="0" w:color="auto"/>
        <w:bottom w:val="none" w:sz="0" w:space="0" w:color="auto"/>
        <w:right w:val="none" w:sz="0" w:space="0" w:color="auto"/>
      </w:divBdr>
    </w:div>
    <w:div w:id="936640772">
      <w:bodyDiv w:val="1"/>
      <w:marLeft w:val="0"/>
      <w:marRight w:val="0"/>
      <w:marTop w:val="0"/>
      <w:marBottom w:val="0"/>
      <w:divBdr>
        <w:top w:val="none" w:sz="0" w:space="0" w:color="auto"/>
        <w:left w:val="none" w:sz="0" w:space="0" w:color="auto"/>
        <w:bottom w:val="none" w:sz="0" w:space="0" w:color="auto"/>
        <w:right w:val="none" w:sz="0" w:space="0" w:color="auto"/>
      </w:divBdr>
    </w:div>
    <w:div w:id="1140225009">
      <w:bodyDiv w:val="1"/>
      <w:marLeft w:val="0"/>
      <w:marRight w:val="0"/>
      <w:marTop w:val="0"/>
      <w:marBottom w:val="0"/>
      <w:divBdr>
        <w:top w:val="none" w:sz="0" w:space="0" w:color="auto"/>
        <w:left w:val="none" w:sz="0" w:space="0" w:color="auto"/>
        <w:bottom w:val="none" w:sz="0" w:space="0" w:color="auto"/>
        <w:right w:val="none" w:sz="0" w:space="0" w:color="auto"/>
      </w:divBdr>
    </w:div>
    <w:div w:id="1264414958">
      <w:bodyDiv w:val="1"/>
      <w:marLeft w:val="0"/>
      <w:marRight w:val="0"/>
      <w:marTop w:val="0"/>
      <w:marBottom w:val="0"/>
      <w:divBdr>
        <w:top w:val="none" w:sz="0" w:space="0" w:color="auto"/>
        <w:left w:val="none" w:sz="0" w:space="0" w:color="auto"/>
        <w:bottom w:val="none" w:sz="0" w:space="0" w:color="auto"/>
        <w:right w:val="none" w:sz="0" w:space="0" w:color="auto"/>
      </w:divBdr>
    </w:div>
    <w:div w:id="1322926789">
      <w:bodyDiv w:val="1"/>
      <w:marLeft w:val="0"/>
      <w:marRight w:val="0"/>
      <w:marTop w:val="0"/>
      <w:marBottom w:val="0"/>
      <w:divBdr>
        <w:top w:val="none" w:sz="0" w:space="0" w:color="auto"/>
        <w:left w:val="none" w:sz="0" w:space="0" w:color="auto"/>
        <w:bottom w:val="none" w:sz="0" w:space="0" w:color="auto"/>
        <w:right w:val="none" w:sz="0" w:space="0" w:color="auto"/>
      </w:divBdr>
    </w:div>
    <w:div w:id="1404789731">
      <w:bodyDiv w:val="1"/>
      <w:marLeft w:val="0"/>
      <w:marRight w:val="0"/>
      <w:marTop w:val="0"/>
      <w:marBottom w:val="0"/>
      <w:divBdr>
        <w:top w:val="none" w:sz="0" w:space="0" w:color="auto"/>
        <w:left w:val="none" w:sz="0" w:space="0" w:color="auto"/>
        <w:bottom w:val="none" w:sz="0" w:space="0" w:color="auto"/>
        <w:right w:val="none" w:sz="0" w:space="0" w:color="auto"/>
      </w:divBdr>
    </w:div>
    <w:div w:id="1546404159">
      <w:bodyDiv w:val="1"/>
      <w:marLeft w:val="0"/>
      <w:marRight w:val="0"/>
      <w:marTop w:val="0"/>
      <w:marBottom w:val="0"/>
      <w:divBdr>
        <w:top w:val="none" w:sz="0" w:space="0" w:color="auto"/>
        <w:left w:val="none" w:sz="0" w:space="0" w:color="auto"/>
        <w:bottom w:val="none" w:sz="0" w:space="0" w:color="auto"/>
        <w:right w:val="none" w:sz="0" w:space="0" w:color="auto"/>
      </w:divBdr>
    </w:div>
    <w:div w:id="1841698076">
      <w:bodyDiv w:val="1"/>
      <w:marLeft w:val="0"/>
      <w:marRight w:val="0"/>
      <w:marTop w:val="0"/>
      <w:marBottom w:val="0"/>
      <w:divBdr>
        <w:top w:val="none" w:sz="0" w:space="0" w:color="auto"/>
        <w:left w:val="none" w:sz="0" w:space="0" w:color="auto"/>
        <w:bottom w:val="none" w:sz="0" w:space="0" w:color="auto"/>
        <w:right w:val="none" w:sz="0" w:space="0" w:color="auto"/>
      </w:divBdr>
    </w:div>
    <w:div w:id="1962153653">
      <w:bodyDiv w:val="1"/>
      <w:marLeft w:val="0"/>
      <w:marRight w:val="0"/>
      <w:marTop w:val="0"/>
      <w:marBottom w:val="0"/>
      <w:divBdr>
        <w:top w:val="none" w:sz="0" w:space="0" w:color="auto"/>
        <w:left w:val="none" w:sz="0" w:space="0" w:color="auto"/>
        <w:bottom w:val="none" w:sz="0" w:space="0" w:color="auto"/>
        <w:right w:val="none" w:sz="0" w:space="0" w:color="auto"/>
      </w:divBdr>
    </w:div>
    <w:div w:id="2014454287">
      <w:bodyDiv w:val="1"/>
      <w:marLeft w:val="0"/>
      <w:marRight w:val="0"/>
      <w:marTop w:val="0"/>
      <w:marBottom w:val="0"/>
      <w:divBdr>
        <w:top w:val="none" w:sz="0" w:space="0" w:color="auto"/>
        <w:left w:val="none" w:sz="0" w:space="0" w:color="auto"/>
        <w:bottom w:val="none" w:sz="0" w:space="0" w:color="auto"/>
        <w:right w:val="none" w:sz="0" w:space="0" w:color="auto"/>
      </w:divBdr>
    </w:div>
    <w:div w:id="2063476783">
      <w:bodyDiv w:val="1"/>
      <w:marLeft w:val="0"/>
      <w:marRight w:val="0"/>
      <w:marTop w:val="0"/>
      <w:marBottom w:val="0"/>
      <w:divBdr>
        <w:top w:val="none" w:sz="0" w:space="0" w:color="auto"/>
        <w:left w:val="none" w:sz="0" w:space="0" w:color="auto"/>
        <w:bottom w:val="none" w:sz="0" w:space="0" w:color="auto"/>
        <w:right w:val="none" w:sz="0" w:space="0" w:color="auto"/>
      </w:divBdr>
    </w:div>
    <w:div w:id="20776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1756800884FF29490E1D7CB3C5726"/>
        <w:category>
          <w:name w:val="Allmänt"/>
          <w:gallery w:val="placeholder"/>
        </w:category>
        <w:types>
          <w:type w:val="bbPlcHdr"/>
        </w:types>
        <w:behaviors>
          <w:behavior w:val="content"/>
        </w:behaviors>
        <w:guid w:val="{5F9E8DE3-6730-4974-AA21-100A64D3A74C}"/>
      </w:docPartPr>
      <w:docPartBody>
        <w:p w:rsidR="00B6314E" w:rsidRDefault="00B6314E">
          <w:pPr>
            <w:pStyle w:val="16E1756800884FF29490E1D7CB3C5726"/>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4E"/>
    <w:rsid w:val="007D6C7E"/>
    <w:rsid w:val="00B6314E"/>
    <w:rsid w:val="00DE3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6E1756800884FF29490E1D7CB3C5726">
    <w:name w:val="16E1756800884FF29490E1D7CB3C5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C7A3-9B22-4080-BB86-1E1FC3C1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6199</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Göteborgs Stad Kretslopp och vatten, tjänsteutlåtande</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Kretslopp och vatten, tjänsteutlåtande</dc:title>
  <dc:subject/>
  <dc:creator>Åsa Andersson</dc:creator>
  <dc:description/>
  <cp:lastModifiedBy>Christer Bergman</cp:lastModifiedBy>
  <cp:revision>2</cp:revision>
  <cp:lastPrinted>2017-01-05T15:29:00Z</cp:lastPrinted>
  <dcterms:created xsi:type="dcterms:W3CDTF">2023-08-15T13:09:00Z</dcterms:created>
  <dcterms:modified xsi:type="dcterms:W3CDTF">2023-08-15T13:09:00Z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A54EC7A94ED47CA2C125819C002DF5BD</vt:lpwstr>
  </property>
  <property fmtid="{D5CDD505-2E9C-101B-9397-08002B2CF9AE}" pid="6" name="SW_DocHWND">
    <vt:r8>1968878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prod\Kretsloppochvatten\LIS\Malldatabas\Malldata.nsf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